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Dong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NO. 16 TAIYANGGONG MIDDLE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 Fintech Holding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TIGR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Key Personnel</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97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tcPr>
          <w:p>
            <w:pPr>
              <w:spacing w:after="0"/>
              <w:rPr>
                <w:sz w:val="3"/>
                <w:szCs w:val="3"/>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3"/>
                <w:szCs w:val="3"/>
                <w:color w:val="auto"/>
              </w:rPr>
            </w:pPr>
          </w:p>
        </w:tc>
        <w:tc>
          <w:tcPr>
            <w:tcW w:w="3260" w:type="dxa"/>
            <w:vAlign w:val="bottom"/>
            <w:gridSpan w:val="5"/>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580" w:type="dxa"/>
            <w:vAlign w:val="bottom"/>
            <w:gridSpan w:val="5"/>
            <w:vMerge w:val="continue"/>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BEIJING</w:t>
            </w:r>
          </w:p>
        </w:tc>
        <w:tc>
          <w:tcPr>
            <w:tcW w:w="13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F4</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100020</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80" w:type="dxa"/>
            <w:vAlign w:val="bottom"/>
            <w:gridSpan w:val="4"/>
          </w:tcPr>
          <w:p>
            <w:pPr>
              <w:ind w:left="3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20" w:type="dxa"/>
            <w:vAlign w:val="bottom"/>
            <w:vMerge w:val="restart"/>
          </w:tcPr>
          <w:p>
            <w:pPr>
              <w:ind w:left="280"/>
              <w:spacing w:after="0"/>
              <w:rPr>
                <w:sz w:val="20"/>
                <w:szCs w:val="20"/>
                <w:color w:val="auto"/>
              </w:rPr>
            </w:pPr>
            <w:r>
              <w:rPr>
                <w:rFonts w:ascii="Arial" w:cs="Arial" w:eastAsia="Arial" w:hAnsi="Arial"/>
                <w:sz w:val="13"/>
                <w:szCs w:val="13"/>
                <w:color w:val="auto"/>
              </w:rPr>
              <w:t>(State)</w:t>
            </w:r>
          </w:p>
        </w:tc>
        <w:tc>
          <w:tcPr>
            <w:tcW w:w="1720" w:type="dxa"/>
            <w:vAlign w:val="bottom"/>
            <w:gridSpan w:val="2"/>
            <w:vMerge w:val="restart"/>
          </w:tcPr>
          <w:p>
            <w:pPr>
              <w:ind w:left="1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2"/>
          </w:tcPr>
          <w:p>
            <w:pPr>
              <w:spacing w:after="0"/>
              <w:rPr>
                <w:sz w:val="10"/>
                <w:szCs w:val="10"/>
                <w:color w:val="auto"/>
              </w:rPr>
            </w:pPr>
          </w:p>
        </w:tc>
        <w:tc>
          <w:tcPr>
            <w:tcW w:w="414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0"/>
          </w:tcPr>
          <w:p>
            <w:pPr>
              <w:ind w:left="1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18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2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3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80,000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2"/>
          </w:tcPr>
          <w:p>
            <w:pPr>
              <w:jc w:val="center"/>
              <w:ind w:left="101"/>
              <w:spacing w:after="0"/>
              <w:rPr>
                <w:sz w:val="20"/>
                <w:szCs w:val="20"/>
                <w:color w:val="auto"/>
              </w:rPr>
            </w:pPr>
            <w:r>
              <w:rPr>
                <w:rFonts w:ascii="Times New Roman" w:cs="Times New Roman" w:eastAsia="Times New Roman" w:hAnsi="Times New Roman"/>
                <w:sz w:val="17"/>
                <w:szCs w:val="17"/>
                <w:color w:val="0000FF"/>
                <w:w w:val="96"/>
              </w:rPr>
              <w:t>154,989</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Juvenamster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center"/>
              <w:ind w:left="101"/>
              <w:spacing w:after="0"/>
              <w:rPr>
                <w:sz w:val="20"/>
                <w:szCs w:val="20"/>
                <w:color w:val="auto"/>
              </w:rPr>
            </w:pPr>
            <w:r>
              <w:rPr>
                <w:rFonts w:ascii="Times New Roman" w:cs="Times New Roman" w:eastAsia="Times New Roman" w:hAnsi="Times New Roman"/>
                <w:sz w:val="17"/>
                <w:szCs w:val="17"/>
                <w:color w:val="0000FF"/>
              </w:rPr>
              <w:t>2,060,999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Holding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Juvenamster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center"/>
              <w:ind w:left="121"/>
              <w:spacing w:after="0"/>
              <w:rPr>
                <w:sz w:val="20"/>
                <w:szCs w:val="20"/>
                <w:color w:val="auto"/>
              </w:rPr>
            </w:pPr>
            <w:r>
              <w:rPr>
                <w:rFonts w:ascii="Times New Roman" w:cs="Times New Roman" w:eastAsia="Times New Roman" w:hAnsi="Times New Roman"/>
                <w:sz w:val="17"/>
                <w:szCs w:val="17"/>
                <w:color w:val="0000FF"/>
                <w:w w:val="93"/>
              </w:rPr>
              <w:t>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Holding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80,000 American Depositary Shares ("ADSs") issuable upon vesting of 1,200,000 restricted share units ("RSUs") granted to the Reporting Person on May 1, 2026. Each RSU represents the right to receive one Class A Ordinary Share of the Issuer upon vesting(1:1 ratio), and each ADS represents 15 Class A Ordinary Shares of the Issuer. The RSUs settle exclusively in Class A Ordinary Shares; no cash settlement alternative exists. The RSUs vest as follows, subject to continued employment or service through each applicable vesting date: 300,000 RSUs on each of May 1, 2027, May 1, 2028, May 1, 2029 and May 1, 2030.</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80,000 ADSs referenced in footnote (1), none of which have vested as of the date of this Form 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/s/Ming Dong</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9623" TargetMode="External"/><Relationship Id="rId14" Type="http://schemas.openxmlformats.org/officeDocument/2006/relationships/hyperlink" Target="http://www.sec.gov/cgi-bin/browse-edgar?action=getcompany&amp;CIK=0001756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2026-06-29T05:19:29Z</dcterms:created>
  <dcterms:modified xsi:type="dcterms:W3CDTF">2026-06-29T05:19:29Z</dcterms:modified>
</cp:coreProperties>
</file>