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5480" w:right="1000" w:hanging="5472"/>
        <w:spacing w:after="0" w:line="294" w:lineRule="auto"/>
        <w:tabs>
          <w:tab w:leader="none" w:pos="20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REGISTRATION STATEMENT PURSUANT TO SECTION 12(b) OR 12(g) OF THE SECURITIES EXCHANGE ACT OF 1934 OR</w:t>
      </w:r>
    </w:p>
    <w:p>
      <w:pPr>
        <w:spacing w:after="0" w:line="33" w:lineRule="exact"/>
        <w:rPr>
          <w:sz w:val="24"/>
          <w:szCs w:val="24"/>
          <w:color w:val="auto"/>
        </w:rPr>
      </w:pPr>
    </w:p>
    <w:p>
      <w:pPr>
        <w:ind w:left="480" w:right="2220" w:hanging="472"/>
        <w:spacing w:after="0" w:line="313" w:lineRule="auto"/>
        <w:tabs>
          <w:tab w:leader="none" w:pos="20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5480" w:right="1860" w:hanging="5472"/>
        <w:spacing w:after="0" w:line="294" w:lineRule="auto"/>
        <w:tabs>
          <w:tab w:leader="none" w:pos="211"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OR</w:t>
      </w:r>
    </w:p>
    <w:p>
      <w:pPr>
        <w:spacing w:after="0" w:line="32" w:lineRule="exact"/>
        <w:rPr>
          <w:rFonts w:ascii="MS PGothic" w:cs="MS PGothic" w:eastAsia="MS PGothic" w:hAnsi="MS PGothic"/>
          <w:sz w:val="18"/>
          <w:szCs w:val="18"/>
          <w:color w:val="auto"/>
          <w:highlight w:val="black"/>
        </w:rPr>
      </w:pPr>
    </w:p>
    <w:p>
      <w:pPr>
        <w:ind w:left="120" w:right="1420" w:hanging="112"/>
        <w:spacing w:after="0" w:line="298" w:lineRule="auto"/>
        <w:tabs>
          <w:tab w:leader="none" w:pos="222"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SHELL COMPANY REPORT PURSUANT TO SECTION 13 OR 15(d) OF THE SECURITIES EXCHANGE ACT OF 1934 </w:t>
      </w:r>
      <w:r>
        <w:rPr>
          <w:rFonts w:ascii="Times New Roman" w:cs="Times New Roman" w:eastAsia="Times New Roman" w:hAnsi="Times New Roman"/>
          <w:sz w:val="18"/>
          <w:szCs w:val="18"/>
          <w:color w:val="auto"/>
        </w:rPr>
        <w:t>Commission file number 001-38833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UP FINTECH HOLDING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Raffles Place, #35-61 One Raffles Place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(048616)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Fei Zeng, Chief Financial Officer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1/F, 308 Des Voeux Road Central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Sheung Wan, Hong Kong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+852-27602579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5"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8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20" w:type="dxa"/>
            <w:vAlign w:val="bottom"/>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60" w:type="dxa"/>
            <w:vAlign w:val="bottom"/>
          </w:tcPr>
          <w:p>
            <w:pPr>
              <w:spacing w:after="0"/>
              <w:rPr>
                <w:sz w:val="16"/>
                <w:szCs w:val="16"/>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428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42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Class A Ordinary Shares, par value</w:t>
            </w:r>
          </w:p>
        </w:tc>
        <w:tc>
          <w:tcPr>
            <w:tcW w:w="2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720" w:type="dxa"/>
            <w:vAlign w:val="bottom"/>
          </w:tcPr>
          <w:p>
            <w:pPr>
              <w:jc w:val="center"/>
              <w:ind w:right="230"/>
              <w:spacing w:after="0" w:line="119" w:lineRule="exact"/>
              <w:rPr>
                <w:sz w:val="20"/>
                <w:szCs w:val="20"/>
                <w:color w:val="auto"/>
              </w:rPr>
            </w:pPr>
            <w:r>
              <w:rPr>
                <w:rFonts w:ascii="Times New Roman" w:cs="Times New Roman" w:eastAsia="Times New Roman" w:hAnsi="Times New Roman"/>
                <w:sz w:val="13"/>
                <w:szCs w:val="13"/>
                <w:color w:val="auto"/>
              </w:rPr>
              <w:t>TIGR</w:t>
            </w:r>
          </w:p>
        </w:tc>
        <w:tc>
          <w:tcPr>
            <w:tcW w:w="260" w:type="dxa"/>
            <w:vAlign w:val="bottom"/>
            <w:vMerge w:val="continue"/>
          </w:tcPr>
          <w:p>
            <w:pPr>
              <w:spacing w:after="0"/>
              <w:rPr>
                <w:sz w:val="10"/>
                <w:szCs w:val="10"/>
                <w:color w:val="auto"/>
              </w:rPr>
            </w:pPr>
          </w:p>
        </w:tc>
        <w:tc>
          <w:tcPr>
            <w:tcW w:w="44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Nasdaq Global Select Market</w:t>
            </w:r>
          </w:p>
        </w:tc>
        <w:tc>
          <w:tcPr>
            <w:tcW w:w="0" w:type="dxa"/>
            <w:vAlign w:val="bottom"/>
          </w:tcPr>
          <w:p>
            <w:pPr>
              <w:spacing w:after="0"/>
              <w:rPr>
                <w:sz w:val="1"/>
                <w:szCs w:val="1"/>
                <w:color w:val="auto"/>
              </w:rPr>
            </w:pPr>
          </w:p>
        </w:tc>
      </w:tr>
      <w:tr>
        <w:trPr>
          <w:trHeight w:val="188"/>
        </w:trPr>
        <w:tc>
          <w:tcPr>
            <w:tcW w:w="48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color w:val="auto"/>
              </w:rPr>
              <w:t>US$0.00001 per share</w:t>
            </w: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48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color w:val="auto"/>
              </w:rPr>
              <w:t>American Depositary Shares</w:t>
            </w:r>
          </w:p>
        </w:tc>
        <w:tc>
          <w:tcPr>
            <w:tcW w:w="1720" w:type="dxa"/>
            <w:vAlign w:val="bottom"/>
          </w:tcPr>
          <w:p>
            <w:pPr>
              <w:jc w:val="center"/>
              <w:ind w:right="230"/>
              <w:spacing w:after="0"/>
              <w:rPr>
                <w:sz w:val="20"/>
                <w:szCs w:val="20"/>
                <w:color w:val="auto"/>
              </w:rPr>
            </w:pPr>
            <w:r>
              <w:rPr>
                <w:rFonts w:ascii="Times New Roman" w:cs="Times New Roman" w:eastAsia="Times New Roman" w:hAnsi="Times New Roman"/>
                <w:sz w:val="14"/>
                <w:szCs w:val="14"/>
                <w:color w:val="auto"/>
              </w:rPr>
              <w:t>TIGR</w:t>
            </w:r>
          </w:p>
        </w:tc>
        <w:tc>
          <w:tcPr>
            <w:tcW w:w="2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273"/>
        </w:trPr>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12(g) of the Act: None</w:t>
            </w:r>
          </w:p>
        </w:tc>
        <w:tc>
          <w:tcPr>
            <w:tcW w:w="1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Securities for which there is a reporting obligation pursuant to Section 15(d) of the Act: None</w:t>
      </w: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w:t>
      </w:r>
    </w:p>
    <w:p>
      <w:pPr>
        <w:spacing w:after="0" w:line="231"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2,747,878,321 Class A ordinary shares were outstanding as of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6350</wp:posOffset>
            </wp:positionV>
            <wp:extent cx="47745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74565" cy="8890"/>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4"/>
          <w:szCs w:val="14"/>
          <w:color w:val="auto"/>
        </w:rPr>
        <w:t>97,611,722 Class B ordinary shares were outstanding as of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-3175</wp:posOffset>
            </wp:positionV>
            <wp:extent cx="47745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74565" cy="8890"/>
                    </a:xfrm>
                    <a:prstGeom prst="rect">
                      <a:avLst/>
                    </a:prstGeom>
                    <a:noFill/>
                  </pic:spPr>
                </pic:pic>
              </a:graphicData>
            </a:graphic>
          </wp:anchor>
        </w:drawing>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2" w:lineRule="exact"/>
        <w:rPr>
          <w:sz w:val="24"/>
          <w:szCs w:val="24"/>
          <w:color w:val="auto"/>
        </w:rPr>
      </w:pPr>
    </w:p>
    <w:p>
      <w:pPr>
        <w:ind w:left="104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No</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If this report is an annual or transition report, indicate by check mark if the registrant is not required to file reports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99" w:lineRule="exact"/>
        <w:rPr>
          <w:sz w:val="20"/>
          <w:szCs w:val="20"/>
          <w:color w:val="auto"/>
        </w:rPr>
      </w:pPr>
    </w:p>
    <w:p>
      <w:pPr>
        <w:ind w:left="104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40"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104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9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0"/>
          <w:szCs w:val="20"/>
          <w:color w:val="auto"/>
        </w:rPr>
      </w:pPr>
    </w:p>
    <w:p>
      <w:pPr>
        <w:ind w:left="104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9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11240"/>
          </w:cols>
          <w:pgMar w:left="320" w:top="769" w:right="339" w:bottom="1440" w:gutter="0" w:footer="0" w:header="0"/>
        </w:sectPr>
      </w:pP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8"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8"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9" w:lineRule="exact"/>
        <w:rPr>
          <w:sz w:val="20"/>
          <w:szCs w:val="20"/>
          <w:color w:val="auto"/>
        </w:rPr>
      </w:pPr>
    </w:p>
    <w:p>
      <w:pPr>
        <w:sectPr>
          <w:pgSz w:w="11900" w:h="16838" w:orient="portrait"/>
          <w:cols w:equalWidth="0" w:num="4">
            <w:col w:w="3900" w:space="720"/>
            <w:col w:w="2020" w:space="720"/>
            <w:col w:w="2780" w:space="720"/>
            <w:col w:w="380"/>
          </w:cols>
          <w:pgMar w:left="320" w:top="769" w:right="339" w:bottom="1440" w:gutter="0" w:footer="0" w:header="0"/>
          <w:type w:val="continuous"/>
        </w:sectPr>
      </w:pPr>
    </w:p>
    <w:p>
      <w:pPr>
        <w:spacing w:after="0" w:line="99" w:lineRule="exact"/>
        <w:rPr>
          <w:sz w:val="20"/>
          <w:szCs w:val="20"/>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14"/>
          <w:szCs w:val="14"/>
          <w:color w:val="221E1F"/>
        </w:rPr>
        <w:t>†</w:t>
      </w:r>
      <w:r>
        <w:rPr>
          <w:rFonts w:ascii="Times New Roman" w:cs="Times New Roman" w:eastAsia="Times New Roman" w:hAnsi="Times New Roman"/>
          <w:sz w:val="14"/>
          <w:szCs w:val="14"/>
          <w:color w:val="auto"/>
        </w:rPr>
        <w:t xml:space="preserve"> provided pursuant to Section 13(a) of the Exchange Act. </w:t>
      </w:r>
      <w:r>
        <w:rPr>
          <w:rFonts w:ascii="MS PGothic" w:cs="MS PGothic" w:eastAsia="MS PGothic" w:hAnsi="MS PGothic"/>
          <w:sz w:val="14"/>
          <w:szCs w:val="14"/>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21E1F"/>
        </w:rPr>
        <w:t>†The term “new or revised financial accounting standard” refers to any update issued by the Financial Accounting Standards Board to its Accounting Standards Codification after April 5, 2012.</w:t>
      </w:r>
    </w:p>
    <w:p>
      <w:pPr>
        <w:spacing w:after="0" w:line="96" w:lineRule="exact"/>
        <w:rPr>
          <w:sz w:val="20"/>
          <w:szCs w:val="20"/>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0" w:lineRule="exact"/>
        <w:rPr>
          <w:sz w:val="20"/>
          <w:szCs w:val="20"/>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0" w:lineRule="exact"/>
        <w:rPr>
          <w:sz w:val="20"/>
          <w:szCs w:val="20"/>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International Financial Reporting</w:t>
      </w:r>
    </w:p>
    <w:p>
      <w:pPr>
        <w:jc w:val="center"/>
        <w:ind w:right="-19"/>
        <w:spacing w:after="0" w:line="226" w:lineRule="auto"/>
        <w:rPr>
          <w:sz w:val="20"/>
          <w:szCs w:val="20"/>
          <w:color w:val="auto"/>
        </w:rPr>
      </w:pPr>
      <w:r>
        <w:rPr>
          <w:rFonts w:ascii="Times New Roman" w:cs="Times New Roman" w:eastAsia="Times New Roman" w:hAnsi="Times New Roman"/>
          <w:sz w:val="14"/>
          <w:szCs w:val="14"/>
          <w:color w:val="auto"/>
        </w:rPr>
        <w:t>Standards as issued</w:t>
      </w:r>
    </w:p>
    <w:p>
      <w:pPr>
        <w:jc w:val="center"/>
        <w:ind w:right="-19"/>
        <w:spacing w:after="0" w:line="234" w:lineRule="auto"/>
        <w:rPr>
          <w:sz w:val="20"/>
          <w:szCs w:val="20"/>
          <w:color w:val="auto"/>
        </w:rPr>
      </w:pPr>
      <w:r>
        <w:rPr>
          <w:rFonts w:ascii="Times New Roman" w:cs="Times New Roman" w:eastAsia="Times New Roman" w:hAnsi="Times New Roman"/>
          <w:sz w:val="14"/>
          <w:szCs w:val="14"/>
          <w:color w:val="auto"/>
        </w:rPr>
        <w:t>by the International Accounting</w:t>
      </w:r>
    </w:p>
    <w:p>
      <w:pPr>
        <w:ind w:left="1440"/>
        <w:spacing w:after="0" w:line="161" w:lineRule="exact"/>
        <w:tabs>
          <w:tab w:leader="none" w:pos="5040" w:val="left"/>
          <w:tab w:leader="none" w:pos="9120" w:val="left"/>
        </w:tabs>
        <w:rPr>
          <w:sz w:val="20"/>
          <w:szCs w:val="20"/>
          <w:color w:val="auto"/>
        </w:rPr>
      </w:pPr>
      <w:r>
        <w:rPr>
          <w:rFonts w:ascii="Times New Roman" w:cs="Times New Roman" w:eastAsia="Times New Roman" w:hAnsi="Times New Roman"/>
          <w:sz w:val="14"/>
          <w:szCs w:val="14"/>
          <w:color w:val="auto"/>
        </w:rPr>
        <w:t xml:space="preserve">U.S. GAAP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Standards Board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Other </w:t>
      </w:r>
      <w:r>
        <w:rPr>
          <w:rFonts w:ascii="MS PGothic" w:cs="MS PGothic" w:eastAsia="MS PGothic" w:hAnsi="MS PGothic"/>
          <w:sz w:val="14"/>
          <w:szCs w:val="14"/>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“Other” has been checked in response to the previous question indicate by check mark which financial statement item the registrant has elected to follow.</w:t>
      </w:r>
    </w:p>
    <w:p>
      <w:pPr>
        <w:spacing w:after="0" w:line="12" w:lineRule="exact"/>
        <w:rPr>
          <w:sz w:val="20"/>
          <w:szCs w:val="20"/>
          <w:color w:val="auto"/>
        </w:rPr>
      </w:pPr>
    </w:p>
    <w:p>
      <w:pPr>
        <w:ind w:left="978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17 or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18</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this is an annual report, indicate by check mark whether the registrant is a shell company (as defined in Rule 12b-2 of the Exchange Act).</w:t>
      </w:r>
    </w:p>
    <w:p>
      <w:pPr>
        <w:spacing w:after="0" w:line="12" w:lineRule="exact"/>
        <w:rPr>
          <w:sz w:val="20"/>
          <w:szCs w:val="20"/>
          <w:color w:val="auto"/>
        </w:rPr>
      </w:pPr>
    </w:p>
    <w:p>
      <w:pPr>
        <w:ind w:left="104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0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auto"/>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w w:val="99"/>
              </w:rPr>
              <w:t>Presentation of Financial and Certain Other Information</w:t>
            </w:r>
          </w:p>
        </w:tc>
        <w:tc>
          <w:tcPr>
            <w:tcW w:w="5040" w:type="dxa"/>
            <w:vAlign w:val="bottom"/>
            <w:gridSpan w:val="7"/>
            <w:vMerge w:val="restart"/>
          </w:tcPr>
          <w:p>
            <w:pPr>
              <w:spacing w:after="0"/>
              <w:rPr>
                <w:sz w:val="24"/>
                <w:szCs w:val="24"/>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40" w:type="dxa"/>
            <w:vAlign w:val="bottom"/>
            <w:tcBorders>
              <w:bottom w:val="single" w:sz="8" w:color="0000FF"/>
            </w:tcBorders>
            <w:gridSpan w:val="19"/>
            <w:vMerge w:val="continue"/>
          </w:tcPr>
          <w:p>
            <w:pPr>
              <w:spacing w:after="0"/>
              <w:rPr>
                <w:sz w:val="14"/>
                <w:szCs w:val="14"/>
                <w:color w:val="auto"/>
              </w:rPr>
            </w:pPr>
          </w:p>
        </w:tc>
        <w:tc>
          <w:tcPr>
            <w:tcW w:w="5040" w:type="dxa"/>
            <w:vAlign w:val="bottom"/>
            <w:gridSpan w:val="7"/>
            <w:vMerge w:val="continue"/>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CONVENTIONS THAT APPLY TO THIS REPORT</w:t>
            </w:r>
          </w:p>
        </w:tc>
        <w:tc>
          <w:tcPr>
            <w:tcW w:w="5200" w:type="dxa"/>
            <w:vAlign w:val="bottom"/>
            <w:gridSpan w:val="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5"/>
              </w:rPr>
              <w:t>PART I</w:t>
            </w:r>
          </w:p>
        </w:tc>
        <w:tc>
          <w:tcPr>
            <w:tcW w:w="680" w:type="dxa"/>
            <w:vAlign w:val="bottom"/>
            <w:gridSpan w:val="5"/>
            <w:vMerge w:val="restart"/>
          </w:tcPr>
          <w:p>
            <w:pPr>
              <w:spacing w:after="0"/>
              <w:rPr>
                <w:sz w:val="17"/>
                <w:szCs w:val="17"/>
                <w:color w:val="auto"/>
              </w:rPr>
            </w:pP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Forward-Looking Statements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 w:type="dxa"/>
            <w:vAlign w:val="bottom"/>
            <w:tcBorders>
              <w:bottom w:val="single" w:sz="8" w:color="0000FF"/>
            </w:tcBorders>
            <w:gridSpan w:val="2"/>
            <w:vMerge w:val="continue"/>
          </w:tcPr>
          <w:p>
            <w:pPr>
              <w:spacing w:after="0"/>
              <w:rPr>
                <w:sz w:val="17"/>
                <w:szCs w:val="17"/>
                <w:color w:val="auto"/>
              </w:rPr>
            </w:pPr>
          </w:p>
        </w:tc>
        <w:tc>
          <w:tcPr>
            <w:tcW w:w="680" w:type="dxa"/>
            <w:vAlign w:val="bottom"/>
            <w:gridSpan w:val="5"/>
            <w:vMerge w:val="continue"/>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Identity of Directors, Senior Management and Advisers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Offer Statistics and Expected Timetable</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Key Information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4.</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Information on the Company</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5.</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Operating and Financial Review and Prospects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6.</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Directors, Senior Management and Employees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7.</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Major Shareholders and Related Party Transactions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8.</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9.</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The Offer and Listing</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10.</w:t>
            </w:r>
          </w:p>
        </w:tc>
        <w:tc>
          <w:tcPr>
            <w:tcW w:w="620" w:type="dxa"/>
            <w:vAlign w:val="bottom"/>
            <w:gridSpan w:val="4"/>
          </w:tcPr>
          <w:p>
            <w:pPr>
              <w:spacing w:after="0"/>
              <w:rPr>
                <w:sz w:val="17"/>
                <w:szCs w:val="17"/>
                <w:color w:val="auto"/>
              </w:rPr>
            </w:pP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Additional Information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11.</w:t>
            </w:r>
          </w:p>
        </w:tc>
        <w:tc>
          <w:tcPr>
            <w:tcW w:w="620" w:type="dxa"/>
            <w:vAlign w:val="bottom"/>
            <w:gridSpan w:val="4"/>
          </w:tcPr>
          <w:p>
            <w:pPr>
              <w:spacing w:after="0"/>
              <w:rPr>
                <w:sz w:val="17"/>
                <w:szCs w:val="17"/>
                <w:color w:val="auto"/>
              </w:rPr>
            </w:pPr>
          </w:p>
        </w:tc>
        <w:tc>
          <w:tcPr>
            <w:tcW w:w="436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20" w:type="dxa"/>
            <w:vAlign w:val="bottom"/>
            <w:gridSpan w:val="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12.</w:t>
            </w:r>
          </w:p>
        </w:tc>
        <w:tc>
          <w:tcPr>
            <w:tcW w:w="620" w:type="dxa"/>
            <w:vAlign w:val="bottom"/>
            <w:gridSpan w:val="4"/>
          </w:tcPr>
          <w:p>
            <w:pPr>
              <w:spacing w:after="0"/>
              <w:rPr>
                <w:sz w:val="17"/>
                <w:szCs w:val="17"/>
                <w:color w:val="auto"/>
              </w:rPr>
            </w:pPr>
          </w:p>
        </w:tc>
        <w:tc>
          <w:tcPr>
            <w:tcW w:w="38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Description of Securities Other than Equity Securities</w:t>
            </w:r>
          </w:p>
        </w:tc>
        <w:tc>
          <w:tcPr>
            <w:tcW w:w="5200" w:type="dxa"/>
            <w:vAlign w:val="bottom"/>
            <w:gridSpan w:val="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Part II</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13.</w:t>
            </w:r>
          </w:p>
        </w:tc>
        <w:tc>
          <w:tcPr>
            <w:tcW w:w="620" w:type="dxa"/>
            <w:vAlign w:val="bottom"/>
            <w:gridSpan w:val="4"/>
          </w:tcPr>
          <w:p>
            <w:pPr>
              <w:spacing w:after="0"/>
              <w:rPr>
                <w:sz w:val="17"/>
                <w:szCs w:val="17"/>
                <w:color w:val="auto"/>
              </w:rPr>
            </w:pPr>
          </w:p>
        </w:tc>
        <w:tc>
          <w:tcPr>
            <w:tcW w:w="358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Defaults, Dividend Arrearages and Delinquencies</w:t>
            </w:r>
          </w:p>
        </w:tc>
        <w:tc>
          <w:tcPr>
            <w:tcW w:w="5500" w:type="dxa"/>
            <w:vAlign w:val="bottom"/>
            <w:gridSpan w:val="11"/>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14.</w:t>
            </w:r>
          </w:p>
        </w:tc>
        <w:tc>
          <w:tcPr>
            <w:tcW w:w="620" w:type="dxa"/>
            <w:vAlign w:val="bottom"/>
            <w:gridSpan w:val="4"/>
          </w:tcPr>
          <w:p>
            <w:pPr>
              <w:spacing w:after="0"/>
              <w:rPr>
                <w:sz w:val="17"/>
                <w:szCs w:val="17"/>
                <w:color w:val="auto"/>
              </w:rPr>
            </w:pPr>
          </w:p>
        </w:tc>
        <w:tc>
          <w:tcPr>
            <w:tcW w:w="560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Material Modifications to the Rights of Security Holders and Use of Proceeds</w:t>
            </w:r>
          </w:p>
        </w:tc>
        <w:tc>
          <w:tcPr>
            <w:tcW w:w="348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15.</w:t>
            </w:r>
          </w:p>
        </w:tc>
        <w:tc>
          <w:tcPr>
            <w:tcW w:w="620" w:type="dxa"/>
            <w:vAlign w:val="bottom"/>
            <w:gridSpan w:val="4"/>
          </w:tcPr>
          <w:p>
            <w:pPr>
              <w:spacing w:after="0"/>
              <w:rPr>
                <w:sz w:val="17"/>
                <w:szCs w:val="17"/>
                <w:color w:val="auto"/>
              </w:rPr>
            </w:pP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16A.</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Audit Committee Financial Expert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88"/>
              </w:rPr>
              <w:t>Item 16B.</w:t>
            </w:r>
          </w:p>
        </w:tc>
        <w:tc>
          <w:tcPr>
            <w:tcW w:w="560" w:type="dxa"/>
            <w:vAlign w:val="bottom"/>
            <w:gridSpan w:val="2"/>
          </w:tcPr>
          <w:p>
            <w:pPr>
              <w:spacing w:after="0"/>
              <w:rPr>
                <w:sz w:val="17"/>
                <w:szCs w:val="17"/>
                <w:color w:val="auto"/>
              </w:rPr>
            </w:pPr>
          </w:p>
        </w:tc>
        <w:tc>
          <w:tcPr>
            <w:tcW w:w="248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Code of Ethics</w:t>
            </w:r>
          </w:p>
        </w:tc>
        <w:tc>
          <w:tcPr>
            <w:tcW w:w="6600" w:type="dxa"/>
            <w:vAlign w:val="bottom"/>
            <w:gridSpan w:val="1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16C.</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16D.</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Exemptions from the Listing Standards for Audit Committees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gridSpan w:val="5"/>
            <w:shd w:val="clear" w:color="auto" w:fill="0000FF"/>
          </w:tcPr>
          <w:p>
            <w:pPr>
              <w:spacing w:after="0" w:line="20" w:lineRule="exact"/>
              <w:rPr>
                <w:sz w:val="1"/>
                <w:szCs w:val="1"/>
                <w:color w:val="auto"/>
              </w:rPr>
            </w:pPr>
          </w:p>
        </w:tc>
        <w:tc>
          <w:tcPr>
            <w:tcW w:w="1140" w:type="dxa"/>
            <w:vAlign w:val="bottom"/>
            <w:tcBorders>
              <w:left w:val="single" w:sz="8" w:color="0000FF"/>
            </w:tcBorders>
            <w:gridSpan w:val="8"/>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0"/>
              </w:rPr>
              <w:t>Item 16E.</w:t>
            </w:r>
          </w:p>
        </w:tc>
        <w:tc>
          <w:tcPr>
            <w:tcW w:w="560" w:type="dxa"/>
            <w:vAlign w:val="bottom"/>
            <w:gridSpan w:val="2"/>
          </w:tcPr>
          <w:p>
            <w:pPr>
              <w:spacing w:after="0"/>
              <w:rPr>
                <w:sz w:val="17"/>
                <w:szCs w:val="17"/>
                <w:color w:val="auto"/>
              </w:rPr>
            </w:pP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Purchases of Equity Securities by the Issuer and Affiliated Purchasers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1"/>
              </w:rPr>
              <w:t>Item 16F.</w:t>
            </w:r>
          </w:p>
        </w:tc>
        <w:tc>
          <w:tcPr>
            <w:tcW w:w="560" w:type="dxa"/>
            <w:vAlign w:val="bottom"/>
            <w:gridSpan w:val="2"/>
          </w:tcPr>
          <w:p>
            <w:pPr>
              <w:spacing w:after="0"/>
              <w:rPr>
                <w:sz w:val="17"/>
                <w:szCs w:val="17"/>
                <w:color w:val="auto"/>
              </w:rPr>
            </w:pPr>
          </w:p>
        </w:tc>
        <w:tc>
          <w:tcPr>
            <w:tcW w:w="502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Change in Registrant’s Certifying Accountant</w:t>
            </w:r>
          </w:p>
        </w:tc>
        <w:tc>
          <w:tcPr>
            <w:tcW w:w="406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gridSpan w:val="5"/>
            <w:shd w:val="clear" w:color="auto" w:fill="0000FF"/>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87"/>
              </w:rPr>
              <w:t>Item 16G.</w:t>
            </w:r>
          </w:p>
        </w:tc>
        <w:tc>
          <w:tcPr>
            <w:tcW w:w="560" w:type="dxa"/>
            <w:vAlign w:val="bottom"/>
            <w:gridSpan w:val="2"/>
          </w:tcPr>
          <w:p>
            <w:pPr>
              <w:spacing w:after="0"/>
              <w:rPr>
                <w:sz w:val="17"/>
                <w:szCs w:val="17"/>
                <w:color w:val="auto"/>
              </w:rPr>
            </w:pP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Corporate Governance</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14"/>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87"/>
              </w:rPr>
              <w:t>Item 16H.</w:t>
            </w:r>
          </w:p>
        </w:tc>
        <w:tc>
          <w:tcPr>
            <w:tcW w:w="560" w:type="dxa"/>
            <w:vAlign w:val="bottom"/>
            <w:gridSpan w:val="2"/>
          </w:tcPr>
          <w:p>
            <w:pPr>
              <w:spacing w:after="0"/>
              <w:rPr>
                <w:sz w:val="17"/>
                <w:szCs w:val="17"/>
                <w:color w:val="auto"/>
              </w:rPr>
            </w:pP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14"/>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16I.</w:t>
            </w:r>
          </w:p>
        </w:tc>
        <w:tc>
          <w:tcPr>
            <w:tcW w:w="20" w:type="dxa"/>
            <w:vAlign w:val="bottom"/>
            <w:tcBorders>
              <w:bottom w:val="single" w:sz="8" w:color="0000EE"/>
            </w:tcBorders>
          </w:tcPr>
          <w:p>
            <w:pPr>
              <w:spacing w:after="0"/>
              <w:rPr>
                <w:sz w:val="17"/>
                <w:szCs w:val="17"/>
                <w:color w:val="auto"/>
              </w:rPr>
            </w:pPr>
          </w:p>
        </w:tc>
        <w:tc>
          <w:tcPr>
            <w:tcW w:w="560" w:type="dxa"/>
            <w:vAlign w:val="bottom"/>
            <w:gridSpan w:val="2"/>
          </w:tcPr>
          <w:p>
            <w:pPr>
              <w:spacing w:after="0"/>
              <w:rPr>
                <w:sz w:val="17"/>
                <w:szCs w:val="17"/>
                <w:color w:val="auto"/>
              </w:rPr>
            </w:pPr>
          </w:p>
        </w:tc>
        <w:tc>
          <w:tcPr>
            <w:tcW w:w="490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18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5"/>
              </w:rPr>
              <w:t>Item 16J.</w:t>
            </w:r>
          </w:p>
        </w:tc>
        <w:tc>
          <w:tcPr>
            <w:tcW w:w="560" w:type="dxa"/>
            <w:vAlign w:val="bottom"/>
            <w:gridSpan w:val="2"/>
          </w:tcPr>
          <w:p>
            <w:pPr>
              <w:spacing w:after="0"/>
              <w:rPr>
                <w:sz w:val="17"/>
                <w:szCs w:val="17"/>
                <w:color w:val="auto"/>
              </w:rPr>
            </w:pP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Insider Trading Policies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5520" w:type="dxa"/>
            <w:vAlign w:val="bottom"/>
            <w:gridSpan w:val="17"/>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16K.</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Part III</w:t>
            </w:r>
          </w:p>
        </w:tc>
        <w:tc>
          <w:tcPr>
            <w:tcW w:w="8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EE"/>
            </w:tcBorders>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680" w:type="dxa"/>
            <w:vAlign w:val="bottom"/>
            <w:gridSpan w:val="2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18.</w:t>
            </w:r>
          </w:p>
        </w:tc>
        <w:tc>
          <w:tcPr>
            <w:tcW w:w="620" w:type="dxa"/>
            <w:vAlign w:val="bottom"/>
            <w:gridSpan w:val="4"/>
          </w:tcPr>
          <w:p>
            <w:pPr>
              <w:spacing w:after="0"/>
              <w:rPr>
                <w:sz w:val="17"/>
                <w:szCs w:val="17"/>
                <w:color w:val="auto"/>
              </w:rPr>
            </w:pPr>
          </w:p>
        </w:tc>
        <w:tc>
          <w:tcPr>
            <w:tcW w:w="15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7520" w:type="dxa"/>
            <w:vAlign w:val="bottom"/>
            <w:gridSpan w:val="21"/>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19.</w:t>
            </w:r>
          </w:p>
        </w:tc>
        <w:tc>
          <w:tcPr>
            <w:tcW w:w="620" w:type="dxa"/>
            <w:vAlign w:val="bottom"/>
            <w:gridSpan w:val="4"/>
          </w:tcPr>
          <w:p>
            <w:pPr>
              <w:spacing w:after="0"/>
              <w:rPr>
                <w:sz w:val="17"/>
                <w:szCs w:val="17"/>
                <w:color w:val="auto"/>
              </w:rPr>
            </w:pPr>
          </w:p>
        </w:tc>
        <w:tc>
          <w:tcPr>
            <w:tcW w:w="6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Exhibits</w:t>
            </w:r>
          </w:p>
        </w:tc>
        <w:tc>
          <w:tcPr>
            <w:tcW w:w="8480" w:type="dxa"/>
            <w:vAlign w:val="bottom"/>
            <w:gridSpan w:val="2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Index to Consolidated Financial Statements for the Years Ended December 31, 2023, 2024 and 2025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40" w:type="dxa"/>
            <w:vAlign w:val="bottom"/>
            <w:tcBorders>
              <w:top w:val="single" w:sz="8" w:color="0000FF"/>
            </w:tcBorders>
            <w:gridSpan w:val="21"/>
          </w:tcPr>
          <w:p>
            <w:pPr>
              <w:ind w:left="432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640" w:type="dxa"/>
            <w:vAlign w:val="bottom"/>
            <w:tcBorders>
              <w:top w:val="single" w:sz="8" w:color="0000FF"/>
            </w:tcBorders>
          </w:tcPr>
          <w:p>
            <w:pPr>
              <w:spacing w:after="0"/>
              <w:rPr>
                <w:sz w:val="24"/>
                <w:szCs w:val="24"/>
                <w:color w:val="auto"/>
              </w:rPr>
            </w:pPr>
          </w:p>
        </w:tc>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FINANCIAL AND CERTAIN OTHER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 Fintech Holding Limited, together with its consolidated subsidiaries (collectively, the “Company” or the “Group”), is a leading integrated financial technology platform providing cross-market, multi-product investment experience for investors around the world. In this annual report on Form 20-F, unless otherwise specified or the context otherwise indicates, all references to “UP Fintech Holding Limited” and the “Company” refer to the business and operations of the Company and its consolidated subsidiaries.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on Form 20-F includes the consolidated financial statements of the Company for the years ended December 31, 2023, 2024 and 2025 (the “Consolidated Financial Statements”) prepared in accordance with United States Generally Accepted Accounting Principles (“U.S. GAAP”) as issued by the Financial Accounting Standards Board.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are presented in U.S. dollars. All references to “U.S. dollars,” “US$,” “U.S. $” and “$” refer to the currency of the United States of America.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language of this annual report on Form 20-F is English. Certain legislative references and technical terms have been cited in their original language so that the correct technical meaning may be ascribed to them under applicable law.</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CONVENTIONS THAT APPLY TO THIS REPORT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and for the purposes of this Annual Report on Form 20-F only, the following is a glossary of certain terms used throughout this report:</w:t>
      </w:r>
    </w:p>
    <w:p>
      <w:pPr>
        <w:spacing w:after="0" w:line="162" w:lineRule="exact"/>
        <w:rPr>
          <w:sz w:val="20"/>
          <w:szCs w:val="20"/>
          <w:color w:val="auto"/>
        </w:rPr>
      </w:pPr>
    </w:p>
    <w:p>
      <w:pPr>
        <w:ind w:left="1140" w:right="2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means the People’s Republic of China, excluding, for the purposes of this report only, Hong Kong, Macau and Taiwan.</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“Chinese investors” refer to the Chinese speaking population around the globe.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rate” means the ratio of (i) the number of trading customers to (ii) the number of customer accounts.</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or “customer account(s)” means the registered users who have passed the Know-Your- Client (“KYC”) procedures and opened a trading account on our platform (including APP and website).</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with deposits” means the customers who have deposited funds in their accounts on our platform.</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or “Hong Kong dollars” means the legal currency of Hong Kong.</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“NZ$” or “New Zealand dollars” means the legal currency of New Zealand.</w:t>
      </w:r>
    </w:p>
    <w:p>
      <w:pPr>
        <w:spacing w:after="0" w:line="225"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WFOEs” means Beijing Bohu Xiangshang Technology Co., Ltd., or Beijing Bohu, formerly known as Ningxia Xiangshang Yixin Technology Co., Ltd or Ningxia Yixin and Beijing Xiangshang Yixin Technology Co., Ltd., or Beijing Yixin; “WFOE” or “WFOEs” means the wholly-foreign owned entity or wholly-foreign owned entities as provided in the relevant PRC laws and regulations.</w:t>
      </w:r>
    </w:p>
    <w:p>
      <w:pPr>
        <w:spacing w:after="0" w:line="175"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VIEs” means Beijing Xiangshang Rongke Technology Development Co., LTD, or Beijing Rongke, formerly known as Ningxia Xiangshang Rongke Technology Development Co., LTD or Ningxia Rongke, and Beijing Xiangshang Yiyi Laohu Technology Group Co., LTD, or Beijing Yiyi; “VIE” or “VIEs” means a variable interest entity or variable interest entities.</w:t>
      </w:r>
    </w:p>
    <w:p>
      <w:pPr>
        <w:spacing w:after="0" w:line="17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rate” means the ratio of (i) the number of trading customers in one period who continue to trade in the next period to (ii) the number of trading customers in the first period.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means the legal currency of China.</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dollars” means the legal currency of Singapore.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customer(s)” means the customers who have conducted at least one trading transaction on our platform.</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means the total value of securities traded during a specific period of time.</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Fintech,” “we,” “us,” “our” and “our company” means UP Fintech Holding Limited, our Cayman Islands holding company and its subsidiaries, its consolidated VIEs and the subsidiaries of the VIEs.</w:t>
      </w:r>
    </w:p>
    <w:p>
      <w:pPr>
        <w:spacing w:after="0" w:line="161"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or “registered user(s)” means those who have registered on our platform (including APP and website) but not necessarily have opened a trading account.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noted, the translations from Renminbi to U.S. dollars and from U.S. dollars to Renminbi in this report were made at a rate of RMB6.9931 to US$1.0000, the exchange rate set forth in the H.10 statistical release of the Federal Reserve Board on December 31, 2025 and the translations from Hong Kong dollars to U.S. dollars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U.S. dollars to Hong Kong dollars in this report were made at a rate of HK$7.7833 to US$1.00, the exchange rate in effect as of December 31, 2025. We make no representation that Renminbi or U.S. dollar amounts referred to in this report could have been or could be converted into U.S. dollars or Renminbi, as the case may be, at any particular rate or at all.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discrepancies between the amounts identified as total amounts in Item 18. Financial statements and the amounts identified in any table as the sum of the amounts listed therein are due to rounding.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An investment in our ADSs or Class A ordinary shares involves significant risks. Below is a summary of material risks we face, organized under relevant headings. The operational risks associated with being based in and having operations in the Chinese mainland also apply to operations in Hong Kong. While entities and businesses in Hong Kong operate under different sets of laws from the Chinese mainland, the legal risks associated with being based in and having operations in the Chinese mainland could apply to our operations in Hong Kong, if the laws applicable to the Chinese mainland become applicable to entities and businesses in Hong Kong in the future. These risks are discussed more fully in “Item 3.D. Key Information—Risk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Chinese Operations and Operating Structure</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446"/>
        </w:trPr>
        <w:tc>
          <w:tcPr>
            <w:tcW w:w="10140" w:type="dxa"/>
            <w:vAlign w:val="bottom"/>
            <w:tcBorders>
              <w:top w:val="single" w:sz="8" w:color="auto"/>
              <w:left w:val="single" w:sz="8" w:color="auto"/>
              <w:bottom w:val="single" w:sz="8" w:color="auto"/>
              <w:right w:val="single" w:sz="8" w:color="auto"/>
            </w:tcBorders>
          </w:tcPr>
          <w:p>
            <w:pPr>
              <w:ind w:left="4620"/>
              <w:spacing w:after="0"/>
              <w:rPr>
                <w:sz w:val="20"/>
                <w:szCs w:val="20"/>
                <w:color w:val="auto"/>
              </w:rPr>
            </w:pPr>
            <w:r>
              <w:rPr>
                <w:rFonts w:ascii="Times New Roman" w:cs="Times New Roman" w:eastAsia="Times New Roman" w:hAnsi="Times New Roman"/>
                <w:sz w:val="18"/>
                <w:szCs w:val="18"/>
                <w:b w:val="1"/>
                <w:bCs w:val="1"/>
                <w:color w:val="auto"/>
              </w:rPr>
              <w:t>Risk Factor</w:t>
            </w:r>
          </w:p>
        </w:tc>
        <w:tc>
          <w:tcPr>
            <w:tcW w:w="1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0"/>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Shareholders may face difficulties in protecting your interests, and your ability to protect your rights through the U.S. courts may be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limited, because we are registered under Cayman Islands law.</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If the agreements that establish the structure for operating some of our activities in China do not comply with PRC regulations, if we fail</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 obtain all required permissions and approvals required by Chinese regulatory authorities, or if these regulations change in the future,</w:t>
            </w:r>
          </w:p>
        </w:tc>
        <w:tc>
          <w:tcPr>
            <w:tcW w:w="1100" w:type="dxa"/>
            <w:vAlign w:val="bottom"/>
            <w:tcBorders>
              <w:right w:val="single" w:sz="8" w:color="auto"/>
            </w:tcBorders>
          </w:tcPr>
          <w:p>
            <w:pPr>
              <w:spacing w:after="0"/>
              <w:rPr>
                <w:sz w:val="18"/>
                <w:szCs w:val="18"/>
                <w:color w:val="auto"/>
              </w:rPr>
            </w:pP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could be subject to severe penalties or be forced to relinquish our interests in those operations.</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Uncertainties exist with respect to the interpretation and implementation of the Foreign Investment Law of the PRC and how it may</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impact the viability of our current corporate structure, corporate governance and business operations.</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rely on contractual arrangements with the VIEs and their respective shareholders for a large portion of our business operations,</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which may not be as effective as equity ownership in providing operational control, and which we may not be able to enforce in a court</w:t>
            </w:r>
          </w:p>
        </w:tc>
        <w:tc>
          <w:tcPr>
            <w:tcW w:w="1100" w:type="dxa"/>
            <w:vAlign w:val="bottom"/>
            <w:tcBorders>
              <w:right w:val="single" w:sz="8" w:color="auto"/>
            </w:tcBorders>
          </w:tcPr>
          <w:p>
            <w:pPr>
              <w:spacing w:after="0"/>
              <w:rPr>
                <w:sz w:val="18"/>
                <w:szCs w:val="18"/>
                <w:color w:val="auto"/>
              </w:rPr>
            </w:pP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 law.</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Any failure by the VIEs or their shareholders to perform their obligations under our contractual arrangements with them would have a</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material and adverse effect on our business.</w:t>
            </w:r>
          </w:p>
        </w:tc>
        <w:tc>
          <w:tcPr>
            <w:tcW w:w="1100" w:type="dxa"/>
            <w:vAlign w:val="bottom"/>
            <w:tcBorders>
              <w:bottom w:val="single" w:sz="8" w:color="auto"/>
              <w:right w:val="single" w:sz="8" w:color="auto"/>
            </w:tcBorders>
          </w:tcPr>
          <w:p>
            <w:pPr>
              <w:spacing w:after="0"/>
              <w:rPr>
                <w:sz w:val="20"/>
                <w:szCs w:val="20"/>
                <w:color w:val="auto"/>
              </w:rPr>
            </w:pPr>
          </w:p>
        </w:tc>
      </w:tr>
      <w:tr>
        <w:trPr>
          <w:trHeight w:val="425"/>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shareholders of the VIEs may have potential conflicts of interest with us, which may materially and adversely affect our business.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Contractual arrangements in relation to the VIEs may be subject to scrutiny by the PRC tax authorities and they may determine that we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 our PRC VIEs owe additional taxes, which could negatively affect our financial condition and the value of your investment.</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may lose the ability to use and enjoy assets held by the VIEs that are material to the operation of certain portions of our business if</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VIEs go bankrupt or become subject to a dissolution or liquidation proceeding.</w:t>
            </w:r>
          </w:p>
        </w:tc>
        <w:tc>
          <w:tcPr>
            <w:tcW w:w="1100" w:type="dxa"/>
            <w:vAlign w:val="bottom"/>
            <w:tcBorders>
              <w:bottom w:val="single" w:sz="8" w:color="auto"/>
              <w:right w:val="single" w:sz="8" w:color="auto"/>
            </w:tcBorders>
          </w:tcPr>
          <w:p>
            <w:pPr>
              <w:spacing w:after="0"/>
              <w:rPr>
                <w:sz w:val="20"/>
                <w:szCs w:val="20"/>
                <w:color w:val="auto"/>
              </w:rPr>
            </w:pPr>
          </w:p>
        </w:tc>
      </w:tr>
      <w:tr>
        <w:trPr>
          <w:trHeight w:val="426"/>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PRC government may regulate transfer of cash to or from the holding company, the subsidiaries, the VIEs and investors.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If we fail to protect customer data and privacy, our reputation, financial condition and results of operations will be materially and</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adversely affected.</w:t>
            </w:r>
          </w:p>
        </w:tc>
        <w:tc>
          <w:tcPr>
            <w:tcW w:w="1100" w:type="dxa"/>
            <w:vAlign w:val="bottom"/>
            <w:tcBorders>
              <w:bottom w:val="single" w:sz="8" w:color="auto"/>
              <w:right w:val="single" w:sz="8" w:color="auto"/>
            </w:tcBorders>
          </w:tcPr>
          <w:p>
            <w:pPr>
              <w:spacing w:after="0"/>
              <w:rPr>
                <w:sz w:val="20"/>
                <w:szCs w:val="20"/>
                <w:color w:val="auto"/>
              </w:rPr>
            </w:pPr>
          </w:p>
        </w:tc>
      </w:tr>
      <w:tr>
        <w:trPr>
          <w:trHeight w:val="425"/>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may be subject to regulatory compliance costs and enforcement activity relating to Chinese privacy and data security laws.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641"/>
        </w:trPr>
        <w:tc>
          <w:tcPr>
            <w:tcW w:w="101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tcPr>
          <w:p>
            <w:pPr>
              <w:spacing w:after="0"/>
              <w:rPr>
                <w:sz w:val="24"/>
                <w:szCs w:val="24"/>
                <w:color w:val="auto"/>
              </w:rPr>
            </w:pPr>
          </w:p>
        </w:tc>
      </w:tr>
      <w:tr>
        <w:trPr>
          <w:trHeight w:val="763"/>
        </w:trPr>
        <w:tc>
          <w:tcPr>
            <w:tcW w:w="10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07"/>
        </w:trPr>
        <w:tc>
          <w:tcPr>
            <w:tcW w:w="1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20" w:type="dxa"/>
            <w:vAlign w:val="bottom"/>
            <w:tcBorders>
              <w:bottom w:val="single" w:sz="8" w:color="0000EE"/>
            </w:tcBorders>
          </w:tcPr>
          <w:p>
            <w:pPr>
              <w:spacing w:after="0"/>
              <w:rPr>
                <w:sz w:val="17"/>
                <w:szCs w:val="17"/>
                <w:color w:val="auto"/>
              </w:rPr>
            </w:pPr>
          </w:p>
        </w:tc>
        <w:tc>
          <w:tcPr>
            <w:tcW w:w="88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49"/>
        </w:trPr>
        <w:tc>
          <w:tcPr>
            <w:tcW w:w="10140" w:type="dxa"/>
            <w:vAlign w:val="bottom"/>
            <w:tcBorders>
              <w:bottom w:val="single" w:sz="8" w:color="auto"/>
            </w:tcBorders>
            <w:gridSpan w:val="3"/>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410"/>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We may be adversely affected by the complexity, uncertainties and changes in the PRC regulations of Internet-related businesses and</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companies, and any lack of requisite licenses, permits or approvals applicable to our business may have a material adverse effect on our</w:t>
            </w:r>
          </w:p>
        </w:tc>
        <w:tc>
          <w:tcPr>
            <w:tcW w:w="1100" w:type="dxa"/>
            <w:vAlign w:val="bottom"/>
            <w:tcBorders>
              <w:right w:val="single" w:sz="8" w:color="auto"/>
            </w:tcBorders>
          </w:tcPr>
          <w:p>
            <w:pPr>
              <w:spacing w:after="0"/>
              <w:rPr>
                <w:sz w:val="18"/>
                <w:szCs w:val="18"/>
                <w:color w:val="auto"/>
              </w:rPr>
            </w:pPr>
          </w:p>
        </w:tc>
      </w:tr>
      <w:tr>
        <w:trPr>
          <w:trHeight w:val="231"/>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business and results of operations.</w:t>
            </w:r>
          </w:p>
        </w:tc>
        <w:tc>
          <w:tcPr>
            <w:tcW w:w="1100" w:type="dxa"/>
            <w:vAlign w:val="bottom"/>
            <w:tcBorders>
              <w:bottom w:val="single" w:sz="8" w:color="auto"/>
              <w:right w:val="single" w:sz="8" w:color="auto"/>
            </w:tcBorders>
          </w:tcPr>
          <w:p>
            <w:pPr>
              <w:spacing w:after="0"/>
              <w:rPr>
                <w:sz w:val="20"/>
                <w:szCs w:val="20"/>
                <w:color w:val="auto"/>
              </w:rPr>
            </w:pPr>
          </w:p>
        </w:tc>
      </w:tr>
      <w:tr>
        <w:trPr>
          <w:trHeight w:val="410"/>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audit report included in this annual report has been prepared by our independent registered public accounting firm, whose work the</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Public Company Accounting Oversight Board was previously unable to inspect and, as such, you have previously been deprived of the</w:t>
            </w:r>
          </w:p>
        </w:tc>
        <w:tc>
          <w:tcPr>
            <w:tcW w:w="1100" w:type="dxa"/>
            <w:vAlign w:val="bottom"/>
            <w:tcBorders>
              <w:right w:val="single" w:sz="8" w:color="auto"/>
            </w:tcBorders>
          </w:tcPr>
          <w:p>
            <w:pPr>
              <w:spacing w:after="0"/>
              <w:rPr>
                <w:sz w:val="18"/>
                <w:szCs w:val="18"/>
                <w:color w:val="auto"/>
              </w:rPr>
            </w:pPr>
          </w:p>
        </w:tc>
      </w:tr>
      <w:tr>
        <w:trPr>
          <w:trHeight w:val="216"/>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benefits of such inspection and may be deprived of such benefits in the future if the work of our independent registered public</w:t>
            </w:r>
          </w:p>
        </w:tc>
        <w:tc>
          <w:tcPr>
            <w:tcW w:w="1100" w:type="dxa"/>
            <w:vAlign w:val="bottom"/>
            <w:tcBorders>
              <w:right w:val="single" w:sz="8" w:color="auto"/>
            </w:tcBorders>
          </w:tcPr>
          <w:p>
            <w:pPr>
              <w:spacing w:after="0"/>
              <w:rPr>
                <w:sz w:val="18"/>
                <w:szCs w:val="18"/>
                <w:color w:val="auto"/>
              </w:rPr>
            </w:pPr>
          </w:p>
        </w:tc>
      </w:tr>
      <w:tr>
        <w:trPr>
          <w:trHeight w:val="234"/>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accounting firm is unable to be inspected again.</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We may be subject to consequences pursuant to the Holding Foreign Companies Accountable Act and related regulations, including the</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potential for our ADSs to be prohibited from trading on U.S. securities exchanges, including The Nasdaq Stock Market, and in the U.S.</w:t>
            </w:r>
          </w:p>
        </w:tc>
        <w:tc>
          <w:tcPr>
            <w:tcW w:w="1100" w:type="dxa"/>
            <w:vAlign w:val="bottom"/>
            <w:tcBorders>
              <w:right w:val="single" w:sz="8" w:color="auto"/>
            </w:tcBorders>
          </w:tcPr>
          <w:p>
            <w:pPr>
              <w:spacing w:after="0"/>
              <w:rPr>
                <w:sz w:val="18"/>
                <w:szCs w:val="18"/>
                <w:color w:val="auto"/>
              </w:rPr>
            </w:pPr>
          </w:p>
        </w:tc>
      </w:tr>
      <w:tr>
        <w:trPr>
          <w:trHeight w:val="234"/>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over-the-counter market, which will limit the liquidity of our ADSs and our access to U.S. capital markets.</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We are subject to numerous regulations in the PRC, and compliance with these regulations may result in costs, expenses, regulatory</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enforcement action, and reputational harm that may have a material adverse effect on our business and results of operations.</w:t>
            </w:r>
          </w:p>
        </w:tc>
        <w:tc>
          <w:tcPr>
            <w:tcW w:w="1100" w:type="dxa"/>
            <w:vAlign w:val="bottom"/>
            <w:tcBorders>
              <w:bottom w:val="single" w:sz="8" w:color="auto"/>
              <w:right w:val="single" w:sz="8" w:color="auto"/>
            </w:tcBorders>
          </w:tcPr>
          <w:p>
            <w:pPr>
              <w:spacing w:after="0"/>
              <w:rPr>
                <w:sz w:val="20"/>
                <w:szCs w:val="20"/>
                <w:color w:val="auto"/>
              </w:rPr>
            </w:pPr>
          </w:p>
        </w:tc>
      </w:tr>
      <w:tr>
        <w:trPr>
          <w:trHeight w:val="426"/>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legal system of the PRC is developing and rapidly evolving, and there are uncertainties that may affect the protection afforded to us.</w:t>
            </w:r>
          </w:p>
        </w:tc>
        <w:tc>
          <w:tcPr>
            <w:tcW w:w="110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24</w:t>
            </w:r>
          </w:p>
        </w:tc>
      </w:tr>
      <w:tr>
        <w:trPr>
          <w:trHeight w:val="407"/>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PRC government’s significant oversight over our business operation could result in a material adverse change in our operations and</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value of our ADSs, and it has recently indicated an intent to exert more oversight and control over overseas securities offerings and</w:t>
            </w:r>
          </w:p>
        </w:tc>
        <w:tc>
          <w:tcPr>
            <w:tcW w:w="1100" w:type="dxa"/>
            <w:vAlign w:val="bottom"/>
            <w:tcBorders>
              <w:right w:val="single" w:sz="8" w:color="auto"/>
            </w:tcBorders>
          </w:tcPr>
          <w:p>
            <w:pPr>
              <w:spacing w:after="0"/>
              <w:rPr>
                <w:sz w:val="18"/>
                <w:szCs w:val="18"/>
                <w:color w:val="auto"/>
              </w:rPr>
            </w:pPr>
          </w:p>
        </w:tc>
      </w:tr>
      <w:tr>
        <w:trPr>
          <w:trHeight w:val="234"/>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other capital markets activities and foreign investment in China-based companies.</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PRC regulation of loans and direct investment by offshore holding companies to PRC entities may delay or prevent us from using</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proceeds we received from our initial public offering and the Concurrent Private Placement to make loans or additional capital</w:t>
            </w:r>
          </w:p>
        </w:tc>
        <w:tc>
          <w:tcPr>
            <w:tcW w:w="1100" w:type="dxa"/>
            <w:vAlign w:val="bottom"/>
            <w:tcBorders>
              <w:right w:val="single" w:sz="8" w:color="auto"/>
            </w:tcBorders>
          </w:tcPr>
          <w:p>
            <w:pPr>
              <w:spacing w:after="0"/>
              <w:rPr>
                <w:sz w:val="18"/>
                <w:szCs w:val="18"/>
                <w:color w:val="auto"/>
              </w:rPr>
            </w:pPr>
          </w:p>
        </w:tc>
      </w:tr>
      <w:tr>
        <w:trPr>
          <w:trHeight w:val="234"/>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contributions to our PRC subsidiaries.</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We may be subject to penalties, including restrictions on our ability to inject capital into our PRC subsidiaries, if our PRC resident</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shareholders or beneficial owners fail to comply with relevant PRC foreign exchange regulations.</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You may be subject to PRC withholding tax on dividends from us and PRC income tax on any gain realized on the transfer of our shares</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or ADSs if we are deemed a PRC resident enterprise.</w:t>
            </w:r>
          </w:p>
        </w:tc>
        <w:tc>
          <w:tcPr>
            <w:tcW w:w="1100" w:type="dxa"/>
            <w:vAlign w:val="bottom"/>
            <w:tcBorders>
              <w:bottom w:val="single" w:sz="8" w:color="auto"/>
              <w:right w:val="single" w:sz="8" w:color="auto"/>
            </w:tcBorders>
          </w:tcPr>
          <w:p>
            <w:pPr>
              <w:spacing w:after="0"/>
              <w:rPr>
                <w:sz w:val="20"/>
                <w:szCs w:val="20"/>
                <w:color w:val="auto"/>
              </w:rPr>
            </w:pPr>
          </w:p>
        </w:tc>
      </w:tr>
      <w:tr>
        <w:trPr>
          <w:trHeight w:val="425"/>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We may not be able to obtain certain tax benefits for dividends paid by our PRC subsidiaries to us through our Hong Kong subsidiaries.</w:t>
            </w:r>
          </w:p>
        </w:tc>
        <w:tc>
          <w:tcPr>
            <w:tcW w:w="110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407"/>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PRC regulations may restrict our ability to convert Renminbi into foreign currency and remit such currency out of the PRC to pay capital</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110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subject to additional risks as a result of doing business in China, as summarized immediately below and described in more detail below under the heading “Risks Related to Doing Business in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446"/>
        </w:trPr>
        <w:tc>
          <w:tcPr>
            <w:tcW w:w="10140" w:type="dxa"/>
            <w:vAlign w:val="bottom"/>
            <w:tcBorders>
              <w:top w:val="single" w:sz="8" w:color="auto"/>
              <w:left w:val="single" w:sz="8" w:color="auto"/>
              <w:bottom w:val="single" w:sz="8" w:color="auto"/>
              <w:right w:val="single" w:sz="8" w:color="auto"/>
            </w:tcBorders>
          </w:tcPr>
          <w:p>
            <w:pPr>
              <w:ind w:left="4620"/>
              <w:spacing w:after="0"/>
              <w:rPr>
                <w:sz w:val="20"/>
                <w:szCs w:val="20"/>
                <w:color w:val="auto"/>
              </w:rPr>
            </w:pPr>
            <w:r>
              <w:rPr>
                <w:rFonts w:ascii="Times New Roman" w:cs="Times New Roman" w:eastAsia="Times New Roman" w:hAnsi="Times New Roman"/>
                <w:sz w:val="18"/>
                <w:szCs w:val="18"/>
                <w:b w:val="1"/>
                <w:bCs w:val="1"/>
                <w:color w:val="auto"/>
              </w:rPr>
              <w:t>Risk Factor</w:t>
            </w:r>
          </w:p>
        </w:tc>
        <w:tc>
          <w:tcPr>
            <w:tcW w:w="1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0"/>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Geopolitical and regulatory tensions between the U.S. and China, and on a larger scale internationally, may dampen growth in China and</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markets where the majority of our customers reside, and our activities and results may be negatively impacted.</w:t>
            </w:r>
          </w:p>
        </w:tc>
        <w:tc>
          <w:tcPr>
            <w:tcW w:w="1100" w:type="dxa"/>
            <w:vAlign w:val="bottom"/>
            <w:tcBorders>
              <w:bottom w:val="single" w:sz="8" w:color="auto"/>
              <w:right w:val="single" w:sz="8" w:color="auto"/>
            </w:tcBorders>
          </w:tcPr>
          <w:p>
            <w:pPr>
              <w:spacing w:after="0"/>
              <w:rPr>
                <w:sz w:val="20"/>
                <w:szCs w:val="20"/>
                <w:color w:val="auto"/>
              </w:rPr>
            </w:pPr>
          </w:p>
        </w:tc>
      </w:tr>
      <w:tr>
        <w:trPr>
          <w:trHeight w:val="425"/>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PRC economic, political and social conditions as well as government policies could adversely affect our business and prospects.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may be subject to penalties for failure to fully comply with the NDRC and the MOFCOM filing requirements for historical overseas</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enforcement of the Labor Contract Law of the People’s Republic of China, or the PRC Labor Contract Law, and other labor-related</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regulations in the PRC may increase our labor costs and impose limitations on our labor practices.</w:t>
            </w:r>
          </w:p>
        </w:tc>
        <w:tc>
          <w:tcPr>
            <w:tcW w:w="1100" w:type="dxa"/>
            <w:vAlign w:val="bottom"/>
            <w:tcBorders>
              <w:bottom w:val="single" w:sz="8" w:color="auto"/>
              <w:right w:val="single" w:sz="8" w:color="auto"/>
            </w:tcBorders>
          </w:tcPr>
          <w:p>
            <w:pPr>
              <w:spacing w:after="0"/>
              <w:rPr>
                <w:sz w:val="20"/>
                <w:szCs w:val="20"/>
                <w:color w:val="auto"/>
              </w:rPr>
            </w:pPr>
          </w:p>
        </w:tc>
      </w:tr>
      <w:tr>
        <w:trPr>
          <w:trHeight w:val="425"/>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Failure to make adequate contributions to various employee benefit plans as required by the PRC regulations may subject us to penalties.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Any failure to comply with PRC regulations regarding the registration requirements for employee share incentive plans may subject the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PRC plan participants or us to fines and other legal or administrative sanctions.</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may be deemed to be a PRC resident enterprise under the Enterprise Income Tax Law, or the EIT Law, and be subject to the PRC</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taxation on our worldwide income, which may significantly increase our income tax expenses and materially decrease our profitability.</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face uncertainty with respect to indirect transfers of equity interests in PRC resident enterprises by their non-PRC holding</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companies.</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Our leased property interest may be defective and our right to lease the properties may be affected by such defects, which could cause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significant disruption to our business.</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Proceedings instituted by the SEC against the Big Four PRC-based accounting firms, including our independent registered public</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r>
      <w:tr>
        <w:trPr>
          <w:trHeight w:val="216"/>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accounting firm, could result in financial statements being determined to not be in compliance with the requirements of the Exchange</w:t>
            </w:r>
          </w:p>
        </w:tc>
        <w:tc>
          <w:tcPr>
            <w:tcW w:w="1100" w:type="dxa"/>
            <w:vAlign w:val="bottom"/>
            <w:tcBorders>
              <w:right w:val="single" w:sz="8" w:color="auto"/>
            </w:tcBorders>
          </w:tcPr>
          <w:p>
            <w:pPr>
              <w:spacing w:after="0"/>
              <w:rPr>
                <w:sz w:val="18"/>
                <w:szCs w:val="18"/>
                <w:color w:val="auto"/>
              </w:rPr>
            </w:pP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Act.</w:t>
            </w:r>
          </w:p>
        </w:tc>
        <w:tc>
          <w:tcPr>
            <w:tcW w:w="1100" w:type="dxa"/>
            <w:vAlign w:val="bottom"/>
            <w:tcBorders>
              <w:bottom w:val="single" w:sz="8" w:color="auto"/>
              <w:right w:val="single" w:sz="8" w:color="auto"/>
            </w:tcBorders>
          </w:tcPr>
          <w:p>
            <w:pPr>
              <w:spacing w:after="0"/>
              <w:rPr>
                <w:sz w:val="20"/>
                <w:szCs w:val="20"/>
                <w:color w:val="auto"/>
              </w:rPr>
            </w:pPr>
          </w:p>
        </w:tc>
      </w:tr>
      <w:tr>
        <w:trPr>
          <w:trHeight w:val="858"/>
        </w:trPr>
        <w:tc>
          <w:tcPr>
            <w:tcW w:w="101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tcPr>
          <w:p>
            <w:pPr>
              <w:spacing w:after="0"/>
              <w:rPr>
                <w:sz w:val="24"/>
                <w:szCs w:val="24"/>
                <w:color w:val="auto"/>
              </w:rPr>
            </w:pPr>
          </w:p>
        </w:tc>
      </w:tr>
      <w:tr>
        <w:trPr>
          <w:trHeight w:val="763"/>
        </w:trPr>
        <w:tc>
          <w:tcPr>
            <w:tcW w:w="10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(the “1933 Act”), and Section 21E of the Securities Exchange Act of 1934, as amended (the “Exchange Act”). These forward-looking statements involve risks and uncertainties.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“might,” “will,” “intend,”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80" w:lineRule="exact"/>
        <w:rPr>
          <w:sz w:val="20"/>
          <w:szCs w:val="20"/>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including the expansion of existing businesses and development of new businesses;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international expansion of our business;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trends regarding our financial condition and results of operations;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sources and volume of revenues;</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costs or expenditures, including those relating to regulatory compliance, personnel, development and sales of our products and services, arrangements with third parties, acquisitions, cost of funding, and litigation;</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demand for and market acceptance of our services;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growth of our customers, including consolidated account customers;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22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economic factors such as increased interest rates and inflation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statutes, policies and regulations relating to our industry and our company, including the Holding Foreign Companies Accountable Act, and Chinese regulations impacting the variable interest entities in our corporate structure;</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identified as a “Commission-Identified Issuer”, as defined below, this year or in future years;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third parties on whom portions of our business depend, including Interactive Brokers.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and the documents referred to herein with the understanding that our actual future results may be materially different from and worse than what we expect. Other sections of this report include additional factors which could adversely impact our business and financial performance, including those described under the heading “Risk Factors.” Moreover, we operate in an evolving environment. New risk factors and uncertainties emerge from time to time and it is not possible for our management to predict all the risk factors and uncertainties, nor can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assess the impact of all the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Projections, assumptions and estimates of our future performance and the future performance of the industry in which we operate are necessarily subject to a high degree of uncertainty and risks due to a variety of factors, including those described in Item 3.D “Risk Factors” and elsewhere in this annual report. You should not place undue reliance on these forward-looking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 Fintech is not a Chinese operating company but a Cayman Islands holding company with no material operations of its own, whose operations are conducted by its subsidiaries and through contractual arrangements with VIEs based in China. This structure involves unique risks to investors. We conduct our operations primarily through our Singapore subsidiaries, New Zealand subsidiaries, U.S. subsidiaries, Hong Kong subsidiaries and the VIEs and their respective subsidiaries in China. The VIE structure is used to replicate foreign investment in Chinese-based companies where Chinese law prohibits direct foreign investment in the operating companies, and contractual arrangements with the VIEs may not be as effective as ownership in providing operational control. Chinese regulatory authorities could disallow this structure, which would likely result in a material change in our operations and/or value of our American Depositary Shares, or “ADSs,” including that it could cause the value of such securities to significantly decline or become worthless. There is no assurance that the PRC government will not regulate transfer of cash to or from the holding company, the subsidiaries, the VIEs and investors. For more information about our operations, refer to “Item 3. Key Information – Certain Summary Financial Information Regarding the Company, Its Subsidiaries, and Consolidated VIEs.” Additionally, VIE agreements have not been tested in a court of law. For more information regarding these and other risks, refer to “Item 3. Key Information – Certain Risks Related to Our Chinese Operations and Operating Structure.”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diagram of our corporate structure, as of the date of this annual report, reflecting our significant subsidiaries, the consolidated VIEs, and subsidiaries of the VIEs, is set forth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240780" cy="6669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40780" cy="6669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December 2, 2021, the Securities and Exchange Commission, or SEC, adopted final rules, including amendments to Form 20-F, to implement the </w:t>
      </w:r>
      <w:r>
        <w:rPr>
          <w:rFonts w:ascii="Times New Roman" w:cs="Times New Roman" w:eastAsia="Times New Roman" w:hAnsi="Times New Roman"/>
          <w:sz w:val="18"/>
          <w:szCs w:val="18"/>
          <w:i w:val="1"/>
          <w:iCs w:val="1"/>
          <w:color w:val="auto"/>
        </w:rPr>
        <w:t>Holding Foreign Companies Accountable Act</w:t>
      </w:r>
      <w:r>
        <w:rPr>
          <w:rFonts w:ascii="Times New Roman" w:cs="Times New Roman" w:eastAsia="Times New Roman" w:hAnsi="Times New Roman"/>
          <w:sz w:val="18"/>
          <w:szCs w:val="18"/>
          <w:color w:val="auto"/>
        </w:rPr>
        <w:t>, or the HFCAA, which was signed into law on December 18, 2020 and further amended by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Appropriations Act, 2023 signed into law on December 29, 2022. The HFCAA requires the SEC to prohibit the securities of any “covered issuer” from being traded on any of the U.S. securities exchanges, including The Nasdaq Stock Market, or traded “over-the-counter” if the auditor of the covered issuer’s financial statements is not subject to PCAOB inspection for three consecutive years. The SEC rules establish procedures the SEC will follow in determining whether a registrant is a “Commission-Identified Issuer” (as defined in the final rule). On December 16, 2021, the PCAOB issued a report on its determinations that it is unable to inspect or investigate PCAOB-registered public accounting firms headquartered in Chinese mainland and in Hong Kong because of positions taken by PRC authorities in those jurisdictions. Our independent registered public accounting firm was subject to the determinations announced by the PCAOB on December 16, 2021. On May 26, 2022, the SEC added the Company to its conclusive list of Commission-Identified Issuers. The SEC’s rules require each Commission-Identified Issuer to submit documentation to the SEC annually on or before its annual report due date establishing that it is not owned or controlled by a governmental entity in that foreign jurisdiction. The SEC will impose an initial trading prohibition on an issuer as soon as practicable after it has been conclusively identified as a Commission-Identified Issuer for two consecutive years.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August 26, 2022, the PCAOB announced that it signed a </w:t>
      </w:r>
      <w:r>
        <w:rPr>
          <w:rFonts w:ascii="Times New Roman" w:cs="Times New Roman" w:eastAsia="Times New Roman" w:hAnsi="Times New Roman"/>
          <w:sz w:val="18"/>
          <w:szCs w:val="18"/>
          <w:i w:val="1"/>
          <w:iCs w:val="1"/>
          <w:color w:val="auto"/>
        </w:rPr>
        <w:t>Statement of Protocol with the China Securities Regulatory Commission</w:t>
      </w:r>
      <w:r>
        <w:rPr>
          <w:rFonts w:ascii="Times New Roman" w:cs="Times New Roman" w:eastAsia="Times New Roman" w:hAnsi="Times New Roman"/>
          <w:sz w:val="18"/>
          <w:szCs w:val="18"/>
          <w:color w:val="auto"/>
        </w:rPr>
        <w:t>, or the CSRC, and the Ministry of Finance, which it described as the first step toward completely opening access for the PCAOB to inspect and investigate registered public accounting firms in Chinese mainland and Hong Kong. On December 15, 2022, the PCAOB vacated its 2021 determination that the positions taken by authorities in Chinese mainland and Hong Kong prevented it completely from inspecting and investigating registered public accounting firms headquartered in those jurisdictions. As a result, the SEC will not provisionally or conclusively identify an issuer as a Commission-Identified Issuer if it files an annual report with an audit report issued by a registered public accounting firm headquartered in mainland China or Hong Kong on or after December 15, 2022, until such time as the PCAOB issues a new determination.</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light of the PCAOB’s decision to vacate its 2021 determination and until such time as the PCAOB issues any new adverse determination, the SEC has stated that there are no issuers at risk of having their securities subject to a trading prohibition under the HFCAA. The Consolidated Appropriations Act, 2023, amended the HFCAA in two significant ways: (i) reducing the consecutive non-inspection years required to trigger HFCAA prohibitions from three to two, and (ii) allowing any foreign jurisdiction to be the basis for the PCAOB’s incomplete access to inspect or investigate a company’s auditor. Initially, the HFCAA applied only if the PCAOB’s inability to inspect or investigate resulted from a stance taken by an authority in the foreign jurisdiction where the relevant public accounting firm operated. Following the Consolidated Appropriations Act, 2023, the HFCAA now also applies if the PCAOB’s inability to inspect or investigate the relevant accounting firm arises from a stance taken by an authority in any foreign jurisdiction, irrespective of the location of the accounting firm. However, whether the PCAOB will continue to be able to satisfactorily conduct inspections of PCAOB-registered public accounting firms headquartered in Chinese mainland and Hong Kong is subject to uncertainty and depends on a number of factors out of our control. If the PCAOB again becomes unable to conduct a full inspection of our independent registered public accounting firm’s audit documentation related to their audit reports, then our common stock will again be subject to potential delisting from The Nasdaq Stock Market. For more information about these risks, see the risk factor below under the heading “We may be subject to consequences pursuant to the Holding Foreign Companies Accountable Act and related regulations, including the potential for our ADSs to be prohibited from trading on U.S. securities exchanges, including The Nasdaq Stock Market, and in the U.S. over-the-counter market, which will limit the liquidity of our ADSs and our access to U.S. capital markets.”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multiple risks arising from our corporate structure, including our status as a holding company incorporated in the Cayman Islands that conducts a portion of our business through China-based VIEs with which we have only contractual relationships and in which we do not own an equity interest, and our operations in China, including potential actions or decisions by PRC or U.S. regulatory authorities restricting or affecting our business activities in the PRC or our access to U.S. capital markets. Certain of these risks, as well as other information relating to our corporate structure and operations in China, are highlighted in this section. This information should be considered in conjunction with the other risks described below under “Risk Factors,” and the information set forth under the heading “Certain Risks Related to Our Chinese Operations and Operating Structure” is incorporated by reference in “Item 3. Key Information – D. Risk Factors.”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Related to Our Chinese Operations and Operating Structure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may face difficulties in protecting your interests, and your ability to protect your rights through the U.S. courts may be limited, because we are registered under Cayman Islands law.</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Our corporate affairs are governed by our memorandum of association and articles of association, the Companies Act of the Cayman Islands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precedents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precedents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the standing to initiate a shareholder derivative action in a federal court of the United States.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like ours have no general rights under the Cayman Islands law to inspect corporate records or to obtain copies of lists of shareholders of these companies. Our directors have the discretion under our fourth amended and restated articles of association to determine such times and such days that our register and branch register of members, as the case may be, shall be open to inspection by our shareholders or other persons. This may make it more difficult for shareholders to obtain the information needed to establish any facts necessary for a shareholder motion or to solicit proxies from other shareholders in connection with a proxy contest.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differ significantly from requirements for companies incorporated in other jurisdictions such as the United States. We rely on home country practice with respect to certain corporate governance matters. Our shareholders may be afforded less protection than they otherwise would have under rules and regulations applicable to U.S. domestic issuers.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difficulties in protecting their interests in the face of actions taken by the management, members of the board of directors or controlling shareholders than they would have as public shareholders of a company incorporated in the United States.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agreements that establish the structure for operating some of our activities in China do not comply with PRC regulations, if we fail to obtain all required permissions and approvals required by Chinese regulatory authorities, or if these regulations change in the future, we could be subject to severe penalties or be forced to relinquish our interests in those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WFOEs have entered into a series of contractual arrangements with the VIEs and their respective shareholders, respectively, which enable us to (i) exercise effective control over the VIEs, and (ii) receive substantially all of the economic benefits of the VIEs. As a result of these contractual arrangements, we have control over and are the primary beneficiary of the VIEs and hence consolidate their financial results into our consolidated financial statements under U.S. GAAP. See Item 4 “Information on the Company” for further details.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knowledge, we believe that (i) the ownership structures of the VIEs in China and our WFOEs, comply with all existing PRC laws and regulations;</w:t>
      </w:r>
    </w:p>
    <w:p>
      <w:pPr>
        <w:spacing w:after="0" w:line="27" w:lineRule="exact"/>
        <w:rPr>
          <w:sz w:val="20"/>
          <w:szCs w:val="20"/>
          <w:color w:val="auto"/>
        </w:rPr>
      </w:pPr>
    </w:p>
    <w:p>
      <w:pPr>
        <w:jc w:val="both"/>
        <w:ind w:firstLine="8"/>
        <w:spacing w:after="0" w:line="252" w:lineRule="auto"/>
        <w:tabs>
          <w:tab w:leader="none" w:pos="2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between our WFOEs, the VIEs and their respective shareholders governed by PRC law are valid, binding and enforceable, and in compliance with PRC laws or regulations currently in effect; and (iii) except as disclosed under the risk factor headed “We may be adversely affected by the complexity, uncertainties and changes in the PRC regulations of Internet-related businesses and companies, and any lack of requisite licenses, permits or approvals applicable to our business may have a material adverse effect on our business and results of operations”, our PRC subsidiaries and the VIEs have received all permissions or approvals that we believe are required and necessary to conduct our business operations within the PRC in all material aspects. However, there are uncertainties regarding the interpretation and application of the existing and future PRC laws, regulations and rules. Accordingly, the PRC regulatory authorities may take a view that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is not consistent with the opinion of the Company and our PRC legal counsel. It is uncertain whether any new PRC laws or regulations relating to variable interest entity structures will be adopted or if adopted, what they would provide. If we or any of the VIEs are found to be in violation of any existing or future PRC laws or regulations, fail to obtain or maintain any of the required permits or approvals, or inadvertently conclude that such permissions or approvals are not required, or if applicable laws, regulations, interpretations or administrative policy change and we are required to obtain such permissions or approvals in the future but are unable or fail to do so, the relevant PRC regulatory authorities would have broad discretion to take action in dealing with such violations or failures, including, without limitation:</w:t>
      </w:r>
    </w:p>
    <w:p>
      <w:pPr>
        <w:spacing w:after="0" w:line="187"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and/or any permits held by such entities;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placing restrictions or onerous conditions on our activities through any transactions between our WFOEs and the VIEs;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confiscating the income from our WFOEs or the VIEs, or imposing other requirements with which we or the VIEs may not be able to comply;</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restructure our ownership structure or activities, including terminating the contractual arrangements with the VIEs and deregistering the equity pledges of the VIEs, which in turn would affect our ability to consolidate, derive economic benefits from, or exert effective control over the VIEs; or</w:t>
      </w:r>
    </w:p>
    <w:p>
      <w:pPr>
        <w:spacing w:after="0" w:line="17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our use of the proceeds of our initial public offering and concurrent private placement to finance our business and activities in China.</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imposition of any of these penalties would result in a material and adverse effect on our ability to conduct our business. In addition, it is unclear what impact the PRC government actions would have on us and on our ability to consolidate the financial results of the VIEs in our consolidated financial statements, if the PRC government authorities were to find our legal structure and contractual arrangements to be in violation of PRC laws and regulations. If the imposition of any of these government actions causes us to lose our right to direct the activities of the VIEs and we are not able to restructure our ownership structure and operations in a satisfactory manner, or any other significant penalties imposed on us in this event, there would have a material adverse effect on our activities in China, and our ability to conduct our business may be negatively affected. This could have a material adverse effect on the market price of our ADSs.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exist with respect to the interpretation and implementation of the Foreign Investment Law of the PRC and how it may impact the viability of our current corporate structure, corporate governance and business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15, 2019, the National People’s Congress adopted the Foreign Investment Law of the PRC, or the FIL, which became effective on January 1, 2020 and replaced the Wholly Foreign-Invested Enterprise Law of the PRC, the Sino-Foreign Cooperative Joint Venture Enterprise Law of the PRC and the Sino-Foreign Equity Joint Venture Enterprise Law of the PRC, together with their implementation rules and ancillary regulations. On December 26, 2019, the State Council published the Implementation Rules of the Foreign Investment Law, or the FIL Implementation Rules, which took effect on January 1, 2020.</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FIL embodies an expected PRC regulatory trend to rationalize its foreign investment regulatory regime in line with prevailing international practice and the legislative efforts to unify the corporate legal requirements for both foreign and domestic investments. However, since it is relatively new, uncertainties still exist in relation to its interpretation and implementation. For example, the FIL removes all references to the terms of “de facto control” or “contractual control” as defined in the draft published in 2015 by the Ministry of Commerce, or the MOFCOM, and adds a catch-all clause to the definition of “foreign investment” so that foreign investment, by its definition, includes “investments made by foreign investors in China through other means defined by other laws or administrative regulations or provisions promulgated by the State Council” without further elaboration on the meaning of “other means.” The FIL Implementation Rules also remain silent on contractual arrangements. It leaves leeway for the future legislations promulgated by the State Council to provide for contractual arrangements as a form of foreign investment.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use contractual arrangements to operate certain businesses, including the consolidated VIEs, in which foreign investors are prohibited or restricted from investing. It is uncertain whether our corporate structure, including our existing VIE structures, will be seen as violating the foreign investment rules.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FIL grants national treatment to foreign invested entities, except for those foreign invested entities that operate in industries deemed to be either “restricted” or “prohibited” in the “negative list”. The current Special Administrative Measures for Market Access of Foreign Investment (Negative List) (2024 Edition) was issued by the National Development and Reform Commission, or the NDRC, and the MOFCOM on September 8, 2024 and became effective on November 1, 2024. Furthermore, on December 19, 2020, the NDRC and the MOFCOM jointly issued the Measures for Security Review of Foreign Investment, effective on January 18, 2021, which provides detailed guidance regarding security review of foreign investment that has a potential impact on national security. However, there remain a number of unclear issues under the Measures, including but not limited to its view towards contractual arrangements, including VIE arrangements. Changes in PRC laws and regulations could materially adversely affect the contractual arrangements. If future legislations prescribed by the State Council mandate further actions to be taken by companies with respect to existing contractual arrangement, we may face uncertainties as to whether we can complete such actions in a timely manner, or at all. Failure to take timely and appropriate measures to comply with any of these or similar regulatory compliance requirements could materially and adversely affect our current corporate structure, corporate governance and business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VIEs and their respective shareholders for a large portion of our business operations, which may not be as effective as equity ownership in providing operational control, and which we may not be able to enforce in a court of law.</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holding company with no material operations of our own. We conduct our operations primarily through our Singapore subsidiaries, New Zealand subsidiaries, U.S. subsidiaries, Hong Kong subsidiaries and the VIEs and their respective subsidiaries in China. We have relied and expect to continue to rely on contractual arrangements with the VIEs and their respective shareholders to conduct certain of our key supporting functions. Additionally, the VIEs were responsible for generating approximately 0.6% of our revenues for the year ended December 31, 2025. The VIEs are consolidated for accounting purposes, but we do not have and may never have an equity interest in the VIEs. These contractual arrangements are used to provide investors with exposure to foreign investment in China-based companies where Chinese law prohibits direct foreign investment in the operating companies and may not be as effective as equity ownership in providing us with control over the VIEs. For example, the VIEs and their respective shareholders could breach their contractual arrangements with us by, among other things, failing to conduct their operations in an acceptable manner or taking other actions that are detrimental to our interests. Our contractual arrangements with the VIEs and their respective shareholders are described in detail below under the heading “Item 3. Key Information — Contractual Arrangements with the VIEs and Their Respective Shareholders.”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had equity ownership of the VIEs, we would be able to exercise our rights as a shareholder to effect changes in the board of directors of the VIEs, which in turn could implement changes, subject to any applicable fiduciary obligations, at the management and operational level. However, under the current contractual arrangements, we rely on the performance by the VIEs and their respective shareholders of their obligations under the contracts to exercise control over the VIEs. The shareholders of the consolidated VIEs may not act in the best interests of our company or may not perform their obligations under these contracts. Such risks exist throughout the period in which we intend to operate certain portions of our business through the contractual arrangements with the VIEs. If any disputes relating to these contracts remain unresolved, we will have to enforce our rights under these contracts through the operations of PRC law and arbitration, litigation and other legal proceedings and therefore will be subject to uncertainties in the PRC legal system. See “Item 3. Key Information - Certain Risks Related to Our Chinese Operations and Operating Structure - Any failure by the VIEs or their shareholders to perform their obligations under our contractual arrangements with them would have a material and adverse effect on our business.” Therefore, our contractual arrangements with the VIEs may not be as effective in ensuring our control over the relevant portion of our business operations as equity ownership would be.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PRC legal counsel has advised us that there are uncertainties regarding the interpretation and application of current and future PRC laws, regulations and rules, including those governing VIE arrangements. Additionally, the VIEs contractual arrangements have not been tested in a Chinese court of law. Accordingly, the PRC regulatory authorities may take a view that is contrary to the opinion of our PRC legal counsel. It is uncertain whether any new PRC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regulations relating to variable interest entity structures will be adopted or if adopted, what they would provide. If we or any of the VIEs are found to be in violation of any existing or future PRC laws or regulations, or fail to obtain or maintain any of the required permits or approvals, the relevant PRC regulatory authorities would have broad discretion to take action in dealing with such violations or failures. Additionally, Chinese regulatory authorities could disallow this structure, which would likely result in a material change in our operations and/or a material change in the value of our securities, including that it could cause the value of such securities to significantly decline or become worthless.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the VIEs or their shareholders to perform their obligations under our contractual arrangements with them would have a material and adverse effect on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refer to the shareholders of each VIE as its nominee shareholders because although they remain the holders of equity interests on record in each of the VIEs, pursuant to the terms of the relevant power of attorney, each such shareholder has irrevocably authorized the relevant WFOE to exercise his, her or its rights as a shareholder of the relevant VIE. Additionally, our WFOEs have the sole discretion to receive from the relevant VIE an annual service fee and will make discretionary determinations on whether to collect services fees and on the amount of fees to be collected in future years. To the extent that our WFOEs do not choose to charge service fees to the VIEs, we will not have any contractual rights to collect funds from the VIEs that would be legally enforceable upon liquidation or sale of the VIEs. Under such circumstances, our investors would not derive any benefit from the operation of, or our contractual arrangements with, the VIEs. Furthermore, if the VIEs or their shareholders fail to perform their respective obligations under the contractual arrangements, we may have to incur substantial costs and expend additional resources to enforce such arrangements. We may also have to rely on legal remedies under the PRC law, including seeking specific performance or injunctive relief, and claiming damages, which we cannot assure will be effective under the PRC law. For example, if the shareholders of the VIEs refuse to transfer their equity interests in the VIEs to us or our designee if we exercise the purchase option pursuant to these contractual arrangements, or if they otherwise act in bad faith towards us, then we may have to take legal actions to compel them to perform their contractual obligations.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of the agreements under our contractual arrangements are governed by the PRC law and provide for the resolution of disputes through arbitration in China. Accordingly, these contracts would be interpreted in accordance with the PRC law and any disputes would be resolved in accordance with PRC legal procedures. There are uncertainties regarding the interpretation and application of current and future PRC laws, regulations and rules regarding the status of the rights of our Cayman Islands holding company with respect to its contractual arrangements with the VIEs and their shareholders. It is uncertain whether any new PRC laws or regulations relating to variable interest entity structures will be adopted or if adopted, what they would provide. Additionally, the legal system in the PRC is developing and rapidly evolving. As a result, uncertainties in the PRC legal system could limit our ability to enforce these contractual arrangements. See “Item 3. Key Information - Certain Risks Related to Our Chinese Operations and Operating Structure - The legal system of the PRC is developing and rapidly evolving, and there are inherent uncertainties that may affect the protection afforded to us.” Meanwhile, there are very few precedents and little formal guidance as to how contractual arrangements in the context of a VIE should be interpreted or enforced under the PRC law. There remain significant uncertainties regarding the ultimate outcome of such arbitration. In addition, under the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and enforcement proceedings, which would require additional expenses and delay. In the event we are unable to enforce these contractual arrangements, or if we suffer significant delays or other obstacles in the process of enforcing these contractual arrangements, we may not be able to exert effective control over the VIEs, and our ability to conduct our business may be negatively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shareholders of the VIEs may have potential conflicts of interest with us, which may materially and adversely affect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shareholders of the VIEs may have potential conflicts of interest with us. These shareholders may breach, or cause the VIEs to breach, or refuse to renew, the existing contractual arrangements we have with them and the VIEs, which would have a material and adverse effect on our ability to effectively control the VIEs and receive economic benefits from them. For example, the shareholders may be able to cause our agreements with the VIEs to be performed in a manner adverse to us by, among other things, failing to remit payments due under the contractual arrangements to 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 timely manner. We cannot assure you that when conflicts of interest arise any or all of these shareholders will act in the best interests of our company or such conflicts will be resolved in our favor. Currently, we do not have any arrangements to address potential conflicts of interest between these shareholders and our company, except that we could exercise our purchase option under the Exclusive Option Agreements with these shareholders to request them to transfer all of their equity interests in the VIEs to a PRC entity or individual designated by us, to the extent permitted by the PRC law. If we cannot resolve any conflict of interest or dispute between us and these shareholders, we would have to rely on legal proceedings, which could result in disruption of our business and subject us to uncertainties as to the outcome of any such legal proceedings.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in relation to the VIEs may be subject to scrutiny by the PRC tax authorities and they may determine that we or our PRC VIEs owe additional taxes, which could negatively affect our financial condition and the value of your investment.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 challenge by the PRC tax authorities. We could face material and adverse tax consequences if the PRC tax authorities determine that the VIE contractual arrangements were not entered into on an arm’s length basis in such a way as to result in an impermissible reduction in taxes under applicable PRC laws, rules and regulations, and adjust the income of the VIEs in the form of a transfer pricing adjustment. A transfer pricing adjustment could, among other things, result in a reduction of expense deductions recorded by the VIEs for PRC tax purposes, which could in turn increase their liabilities without reducing our WFOEs’ tax expenses. In addition, the PRC tax authorities may impose late payment fees and other penalties on the VIEs for the adjusted but unpaid taxes according to the applicable regulations. Our financial position could be materially and adversely affected if the VIEs’ tax liabilities increase or if it is required to pay late payment fees and other penalties.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and enjoy assets held by the VIEs that are material to the operation of certain portions of our business if the VIEs go bankrupt or become subject to a dissolution or liquidation proceeding.</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contractual arrangements with the VIEs, the VIEs and their subsidiaries hold certain assets that are material to the operation of certain portion of our business, including intellectual properties. If the VIEs go bankrupt and all or part of their assets become subject to liens or rights of third-party creditors, we may be unable to continue some or all of our business activities, which could materially and adversely affect our business, financial condition and results of operations. Under the contractual arrangements, the VIEs may not, in any manner, sell, transfer, mortgage or dispose of their assets or legal or beneficial interests in the business without our prior consent. If the VIEs undergo a voluntary or involuntary liquidation proceeding, independent third-party creditors may claim rights to some or all of these assets, thereby hindering our ability to operate our business, which could materially and adversely affect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PRC government may regulate transfer of cash to or from the holding company, the subsidiaries, the VIEs and investors.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majority of our revenues were generated from our wholly owned subsidiaries in New Zealand, Singapore and the United States for the years ended December 31, 2023, 2024 and 2025. Most of the consolidated VIEs and their subsidiaries operate business in the PRC and their main functions are to support our licensed/registered entities in New Zealand, Singapore, and the United States, etc. (“Licensed Entities”). Certain of the costs generated by VIEs and their subsidiaries are covered by these Licensed Entities through inter-company transactions, and we expect that the Licensed Entities will cover a substantial majority of such costs in the future. In general, the holding company transfers funds from financing (including funds from its IPO, follow-on equity offerings, and offerings of convertible bonds, as applicable) to Licensed Entities in the form of capital injections or loans to support their business expansion. These Licensed Entities pay the consolidated VIEs and their subsidiaries periodically for the services rendered through inter-company transactions, pursuant to the terms of the contractual arrangements between them. To date, we have not experienced difficulty in transferring cash to or from the holding company, the subsidiaries, the VIEs, and investors. However, there is no assurance that the PRC government will not further regulate transfer of cash in the future.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protect customer data and privacy, our reputation, financial condition and results of operations will be materially and adversely affected.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dependent on information technology networks and systems to securely process, transmit and store electronic information and to communicate among our locations and with our customers and partners. Due to the volume and sensitivity of the personal information and customer data we manage and the nature of our brokerage services and ESOP management services, the security features of our platform and information systems are critical.</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adopted security policies and measures, including encryption technology, to protect our proprietary data and customer’s privacy. All customer and transaction data are saved in our own database and operating systems. Only database administrators with the proper authorization have access to the database. In addition, all employees should sign non-disclosure agreements when they join and leave our company. However, we cannot guarantee our employees will not breach the non-disclosure agreements in the future. Further, as the breadth and complexity of the infrastructure of our platform continues to grow, the potential risk of system breakdown or function failure increases and it is the same for the potential risk of security breaches and cyber-attacks such as viruses, malware or phishing attempts by cyber criminals or other wrongdoers seeking to steal our customer’s data for financial gain or to harm our business operations or reputation. Further, if any person, including any of our employees, negligently disregards or intentionally breaches our established controls with respect to customer data, or otherwise mismanages or misappropriates that data, we could be subject to significant monetary damages, regulatory enforcement actions, fines or even criminal prosecution in one or more jurisdictions. Unauthorized disclosure of sensitive or confidential customer data, whether through system failure, employee negligence, fraud or misappropriation, could damage our reputation and cause us to lose customers. Cyber-attacks could also adversely affect our operating results, consume internal resources, and result in litigation or potential liabilities for us and otherwise harm our business. Historically, we received complaints from our customers regarding the leakage of their personal information. Although we have conducted investigation on such leakage, we cannot guarantee that there will not be other similar incidents and complaints. Further, our security management programs are reviewed annually, and therefore, we cannot ensure that such programs will be updated promptly.</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by virtue of third party channels, our corporate customers utilize our technology to serve their own customers. Consequently, any leak or abuse of customer data by our third party channels may be perceived by the customers as a result of our failure to protect the customer data and privacy.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customer data, could cause our customers to lose trust in us and could expose us to legal claims.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growing number of legislative and regulatory bodies have adopted consumer notification requirements in the event of unauthorized access to or acquisition of certain types of personal data. Such breach notification laws continue to evolve and may be inconsistent from one jurisdiction to another, which might become a particular concern as we accelerate our international expansion. For information regarding risks relating to privacy and data security laws to which we are subject in China, see “– We may be subject to regulatory compliance costs and enforcement activity relating to Chinese privacy and data security laws.”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laws and regulations in certain jurisdictions impose specific regulatory requirements on cross border transmission of important personal data. We are subject to domestic and international laws relating to the collection, use, retention, security and transfer of personally identifiable information among us and our international subsidiaries. Non-compliance could result in significant penalties or legal liability. Foreign data protection, privacy, and other laws and regulations can impose different obligations or be more restrictive that those in Chinese mainland. Regulatory authorities around the world are considering a number of legislative and regulatory proposals concerning data protection. Also, the interpretation and application of consumer and data protection laws in the U.S., Europe and elsewhere are often uncertain. It is possible that these laws may be interpreted and applied in a manner that is inconsistent with our data practices. These legislative and regulatory proposals, if adopted, and such interpretations could, in addition to the possibility of fines, result in an order requiring that we change our data practices, which could have an adverse effect on our business and results of operations.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assure that the measures we currently adopt to assess the personal data security could satisfy the requirements of the relevant governmental authorities or any future measures when published. Further, to comply with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those obligations will incur substantial costs and could increase negative publicity surrounding any incident that compromises user data. Although we have made substantial efforts to ensure our compliance with the applicable privacy regulations in various jurisdictions, we may not be capable of adjusting our internal policies in a timely manner and any failure to comply with applicable regulations could also result in regulatory enforcement actions against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regulatory compliance costs and enforcement activity relating to Chinese privacy and data security laws.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China, the government is still ramping up regulations with regard to personal information protection. On October 1, 2020, the </w:t>
      </w:r>
      <w:r>
        <w:rPr>
          <w:rFonts w:ascii="Times New Roman" w:cs="Times New Roman" w:eastAsia="Times New Roman" w:hAnsi="Times New Roman"/>
          <w:sz w:val="18"/>
          <w:szCs w:val="18"/>
          <w:i w:val="1"/>
          <w:iCs w:val="1"/>
          <w:color w:val="auto"/>
        </w:rPr>
        <w:t>Information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Technology - Personal Information Security Specification (GB/T 35273-2020) , </w:t>
      </w:r>
      <w:r>
        <w:rPr>
          <w:rFonts w:ascii="Times New Roman" w:cs="Times New Roman" w:eastAsia="Times New Roman" w:hAnsi="Times New Roman"/>
          <w:sz w:val="18"/>
          <w:szCs w:val="18"/>
          <w:color w:val="auto"/>
        </w:rPr>
        <w:t>or the 2020 Specification took effect. Although the 2020 Specification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recommended guideline, and it is not enforceable by law, the authority will use this standard to evaluate our compliance with China’s legal guidelines and regulations regarding personal information protection. Besides, Personal Information Protection Law promulgated by SCNPC on August 20, 2021 became the most relevant law in China regarding personal information protection and came into effect on November 1, 2021. The Personal Information Protection Law provides serve punishment for those who violates regulations when processing personal information. For details of the relevant PRC Laws, please refer to the section “Regulations on Privacy Protection” below.</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Cyber Security Law of the PRC, which was promulgated by the Standing Committee of the National People’s Congress, or the SCNPC and became effective on June 1, 2017, requires operators of key information infrastructures, which include, among others, public communications and information service and financial industry and other important industries and fields, shall store personal information and important data gathered and produced during operations in China within the territory of China. Where such information and data need to be transmitted overseas based on commercial demand, a security assessment shall be conducted in accordance with the measures formulated by the national cyberspace administration authority in concert with the relevant departments under the State Council. On December 28, 2021, the CAC and other twelve PRC regulatory authorities jointly revised and promulgated the Measures for Cybersecurity Review, or the Cybersecurity Review Measures, which came into effect on February 15, 2022. Pursuant to the Cybersecurity Review Measures, besides the procurement of network products and services by critical information infrastructure operators, any data processing activities by network platform operators that affects or may affect national security shall be subject to the cybersecurity review as well. In accordance with the Cybersecurity Review Measures, operators mastering personal information of more than one million users must apply to the Cybersecurity Review Office for cybersecurity review when they seek for listing in a foreign country. In addition, the CAC published the Decision on Amending the Cyber Security Law (Draft for Comments), or the Decision on the Cyber Security Law on September 14, 2022, pursuant to which the legal liabilities of violating the Cyber Security Law are strengthened. However, as of the date of this annual report, the period for public comment on the draft of the Cyber Security Law has ended while no official rules have been issued, and the Cybersecurity Review Measures and the Decision on the Cyber Security Law remain unclear on whether the relevant requirements will be applicable to companies that have been listed in the United States. Although all of the data centers used for our brokerage service are located overseas, we have several servers located in China to provide user community support and market information. We might need to transmit certain personal data between different locations, and since such data are used for financial services, we might be subject to security assessment requirements as set forth in the Cyber Security Law of the PRC.</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the Regulations on Network Data Security was promulgated by the State Council on September 24, 2024 and became effective on January 1, 2025, according to which, a network data handler may transmit personal information abroad if it meets any of the following conditions: (1) having passed the security assessment for data cross-border transmission organized by the state cyberspace administration; (2) having been certified by a specialized agency in respect of the protection of personal information in accordance with the provisions of the state cyberspace administration; (3) meeting the provisions on standard contract for cross-border transmission of personal information as developed by the state cyberspace administration; (4) necessary to provide personal information abroad in order to conclude or perform a contract to which it is a party; (5) necessary to provide personal information of employees abroad under the employment rules and regulations formulated in accordance with the law and collective contracts concluded in accordance with the law; (6) necessary to provide personal information abroad in order to perform statutory duties or obligations; (7) necessary to provide personal information abroad in order to protect the life, health and property security of natural persons in an emergency; and (8) other conditions provided for in laws, administrative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regulations or by the state cyberspace administration. In addition, network data processors engaging in network data processing activities that affect or may affect national security shall undergo national security review.</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assure that the measures we currently adopt to assess the personal data security could satisfy the requirements of the relevant governmental authorities in China or any future measures when published. Further, to comply with those obligations will incur substantial costs and could increase negative publicity surrounding any incident that compromises user data. Although we have made substantial efforts to ensure our compliance with the applicable privacy regulations in various jurisdictions, we may not be capable of adjusting our internal policies in a timely manner and any failure to comply with applicable regulations could also result in regulatory enforcement actions against us. For more information regarding risks relating to privacy and data security regulations affecting our business and operations, see “– If we fail to protect customer data and privacy, our reputation, financial condition and results of operations will be materially and adversely affected.”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complexity, uncertainties and changes in the PRC regulations of Internet-related businesses and companies, and any lack of requisite licenses, permits or approvals applicable to our business may have a material adverse effect on our business and results of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PRC government extensively regulates the Internet industry, including foreign ownership of, and the licensing and permit requirements pertaining to, companies in the internet industry. These Internet-related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only have contractual control over the entities that provide Internet information provision services in China. We do not own such entities due to the restriction of foreign investment in businesses providing value-added telecommunication services in China, including Internet information provision services. This may significantly disrupt our business, subject us to sanctions, compromise enforceability of related contractual arrangements, or have other harmful effects on us.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evolving PRC regulatory system for the Internet industry may lead to the establishment of new regulatory agencies. For example, in May 2011, the State Council announced the establishment of a new department, the CAC, with the involvement of the State Council Information Office, the Ministry of Industry and Information Technology, or the MIIT, and the Ministry of Public Security. The primary role of this new agency is to facilitate the policy-making and legislative development in this field, to direct and coordinate with the relevant departments in connection with online content administration and to deal with cross-ministry regulatory matters in relation to the Internet industry. In practice, PRC regulators, including the CAC, have been increasingly focused on regulation in the areas of data security and data protection, and are enhancing the protection of privacy and data security by rule-making and enforcement actions at central and local levels. For example, on July 7, 2022, the CAC promulgated the Measures on Security Assessment of Cross-border Data Transfer, or the Data Export Measures, which has become effective on September 1, 2022. The Data Export Measures require that any data processor which processes or exports personal information exceeding certain volume threshold under such measures shall apply for security assessment by the CAC before transferring any personal information abroad. The security assessment requirement also applies to any transfer of important data outside of China. We expect that these areas will receive greater and continued attention and scrutiny from regulators and the public going forward, which could increase our compliance costs and subject us to heightened risks and challenges associated with data security and protection.</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Considering our business arrangement and development plan, we have set up another set of VIE structures and intend the new VIE or its subsidiaries to apply for or hold the value-added telecommunications business license(s) as soon as practical to conduct value-added telecommunications business such as Internet information services. See “Item 3. Key Information – Description of Certain PRC Regulations Affecting Our Business.” We cannot guarantee that our new VIE, Beijing Yiyi or its subsidiary, will continue or maintain such value-added telecommunications business license due to uncertainties from PRC governmental authorities.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Beijing Yiyi’s subsidiary, Beijing U-Tiger Network Technology Co., LTD, holds the License for Production and Operation of Radio and TV Programs issued on June 4, 2024, and the Business License for Value-added Telecommunications Business issued on July 22, 2022. Beijing Yiyi’s subsidiary, Beijing Yixin Xiangshang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Technology Co.,LTD, holds the Business License for Value-added Telecommunications Business issued on July 25, 2024. Beijing Yiyi’s subsidiary, Beijing Zhi Jian Feng Yi Information Technology Co., LTD, holds the License for Production and Operation of Radio and TV Programs issued on July 27, 2023, the Business License for Value-added Telecommunications Business issued on March 21, 2024, the License for Publication Business issued on April 25, 2022.</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provision of certain services online may subject us to license requirements in China. For instance, we provide some recorded videos as a way of customer education and occasionally launch other audio-video contents on our platform and our community, which may result in audio-video license requirements from the Ministry of Culture and Tourism, or MCT, National Radio and Television Administration, Cyberspace Administration of China, or their provincial level branches. The Internet Audio-Video Program Services Regulations only allow state-owned or state-controlled enterprises to apply for certain licenses, which means that we may not be able to obtain all required licenses. We also provide some digital works on our website and APP, which may require online publishing service license issued by the National Radio and Television Administration, or the NRTA, or its provincial level branches. In addition, we reprint some articles related to the stock market on our website and APP, and therefore may be subject to permit and approval requirements from the State Council Information Office. Furthermore, we also need to strictly follow the requirements applicable to online content providers set forth by the relevant regulatory authorities, especially for financial information. See “Item 3. Key Information – We are subject to numerous regulations in the PRC, and compliance with these regulations may result in costs, expenses, regulatory enforcement action, and reputational harm that may have a material adverse effect on our business and results of operations” and “Item 3. Key Information – Description of Certain PRC Regulations Affecting Our Business.” Failure to comply with these license or other requirements may subject us to penalties, which may adversely affect our business operations and reputation.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interpretation and application of the existing PRC laws, regulations and policies and possible new laws, regulations or policies relating to the Internet industry have created uncertainties regarding the legality of the existing and future foreign investments in, and the businesses and activities of, Internet businesses in China, including our business. We cannot assure you that we have obtained all the permits or licenses related to our Internet related business in China that might be required for conducting our supporting functions in China or will be able to maintain our existing licenses or obtain new ones. In the event that the PRC government considers that we were operating without the proper approvals, licenses or permits, promulgates new laws and regulations that require additional approvals or licenses, or imposes additional restrictions on the operation of any part of our business, it has the power, among other things, to bring enforcement action against us, levy fines, confiscate our income, revoke our business licenses, and require us to discontinue our relevant business or impose restrictions on the affected portion of our business. Any of these actions by the PRC government may have a material adverse effect on our business and results of operations.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audit report included in this annual report has been prepared by our independent registered public accounting firm, whose work the Public Company Accounting Oversight Board was previously unable to inspect and, as such, you have previously been deprived of the benefits of such inspection and may be deprived of such benefits in the future if the work of our independent registered public accounting firm is unable to be inspected again.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independent registered public accounting firm that has issued the audit report included in this annual report, KPMG Huazhen LLP, as an auditor of companies that are traded publicly in the United States and as a firm registered with the Public Company Accounting Oversight Board (United States), or the PCAOB, is required by the laws of the United States to undergo regular inspections by the PCAOB to assess its compliance with the laws of the United States and professional standards.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have substantial operations within the PRC and the PCAOB was unable to conduct inspections of the work of our independent registered public accounting firm as it relates to those operations without the approval of the Chinese authorities prior to 2022, our independent registered public accounting firm was not inspected fully by the PCAOB prior to 2022. This prior lack of PCAOB inspections in the PRC prevented the PCAOB from regularly evaluating our independent registered public accounting firm’s audits and its quality control procedures. As a result, investors were previously deprived of the benefits of PCAOB inspections. As discussed above under “Item 3. Key Information,” in 2022 the PCAOB was able to secure complete access to inspect and investigate audit firms in the PRC for the first time, and on December 15, 2022, the PCAOB vacated its 2021 determination that the positions taken by authorities in Chinese mainland and Hong Kong prevented it from inspecting and investigating completely registered public accounting firms headquartered in those jurisdictions.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can be no guarantee that the PCAOB will continue to be able to fully inspect our independent registered public accounting firm’s work in the future, due to factors outside our control. Inspections of other firms that the PCAOB has conducted outside the PRC have identified deficiencies in those firms’ audit procedures and quality control procedures, which may be addressed as part of the inspection process to improve future audit quality. The inability of the PCAOB to conduct full inspections of auditors in the PRC made it more difficult to evaluate the effectiveness of our independent registered public accounting firm’s audit procedures or quality control procedures as compared to auditors outside the PRC that are subject to PCAOB inspections, which could cause investors to lose confidence in our reported financial information and procedures and the quality of our financial statements.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consequences pursuant to the Holding Foreign Companies Accountable Act and related regulations, including the potential for our ADSs to be prohibited from trading on U.S. securities exchanges, including The Nasdaq Stock Market, and in the U.S. over-the-counter market, which will limit the liquidity of our ADSs and our access to U.S. capital markets.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above under “Item 3. Key Information,” the HFCAA requires the SEC to prohibit the securities of any “covered issuer,” from being traded on any of the U.S. securities exchanges, including The Nasdaq Stock Market, or traded “over-the-counter,” if the auditor of the covered issuer’s financial statements is not subject to PCAOB inspection for, initially, three consecutive years. In December 2021, the SEC adopted final rules, including amendments to Form 20-F, to implement the HFCAA and establish procedures the SEC will follow in determining whether a registrant is a “Commission-Identified Issuer” (as defined in the final rule). Consistent with the HFCAA, these amendments require the submission of documentation to the SEC establishing that a “Commission-Identified Issuer” is not owned or controlled by a governmental entity in that foreign jurisdiction and also require disclosure in a foreign issuer’s annual report regarding the audit arrangements of, and governmental influence on, such registrant, including any consolidated VIEs or other similar structures. On May 26, 2022, the SEC added the Company to its conclusive list of Commission-Identified Issuers.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2022, the Accelerating Holding Foreign Companies Accountable Act was signed into law, which amended the HFCAA to (i) shorten the three-year period to two years and (ii) allow any foreign jurisdiction to be the basis for the PCAOB’s incomplete access to inspect or investigate a company’s auditor. Initially, the HFCAA applied only if the PCAOB’s inability to inspect or investigate resulted from a stance taken by an authority in the foreign jurisdiction where the relevant public accounting firm operated. Following the Consolidated Appropriations Act, 2023, the HFCAA now also applies if the PCAOB’s inability to inspect or investigate the relevant accounting firm arises from a stance taken by an authority in any foreign jurisdiction, irrespective of the location of the accounting firm.</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16, 2021, the PCAOB issued a report on its determinations that it is unable to inspect or investigate PCAOB-registered public accounting firms headquartered in Chinese mainland and in Hong Kong because of positions taken by PRC authorities in those jurisdictions. Our independent registered public accounting firm was subject to the determinations announced by the PCAOB on December 16, 2021. On August 26, 2022, the PCAOB announced that it signed a Statement of Protocol with the CSRC and the Ministry of Finance, which it described as the first step toward opening access for the PCAOB to inspect and investigate completely registered public accounting firms in Chinese mainland and Hong Kong. On December 15, 2022, the PCAOB vacated its 2021 determination that the positions taken by authorities in Chinese mainland and Hong Kong prevented it from inspecting and investigating completely registered public accounting firms headquartered in those jurisdictions. Consequently, the PCAOB is currently able to inspect the work of PCAOB-registered independent registered public accounting firms, including ours, in Chinese mainland and Hong Kong.</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light of the PCAOB’s decision to vacate its 2021 determination and until such time as the PCAOB issues any new adverse determination, the SEC has stated that there are no issuers at risk of having their securities subject to a trading prohibition under the HFCAA. However, whether the PCAOB will continue to be able to satisfactorily conduct inspections of such firms is subject to uncertainty and depends on a number of factors out of our control. If the PCAOB again becomes unable to conduct a full inspection of our independent registered public accounting firm’s audit documentation related to their audit reports for two consecutive years, then our ADSs may be prohibited from trading on U.S. securities exchanges, including The Nasdaq Stock Market, and in the U.S. over-the-counter market, which will limit the liquidity of our ADSs and our access to U.S. capital markets.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HFCAA, related SEC and PCAOB rules, and any additional rulemaking efforts to increase U.S. regulatory access to audit information in China, could cause investor uncertainty for affected companies, including us, and the market price of our ADSs could be materially adversely affected.</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regulations in the PRC, and compliance with these regulations may result in costs, expenses, regulatory enforcement action, and reputational harm that may have a material adverse effect on our business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numerous regulations in the PRC, including those described in detail below under “Item 3. Key Information – Description of Certain PRC Regulations Affecting Our Business.” These regulatory requirements are evolving, and new regulatory requirements affecting us may be adopted. Compliance with these regulations involves costs, fees, and expenses, as well as time and attention from our leadership team. Additionally, if we fail to comply in full with applicable regulations, we may be subject to government enforcement action, which may be costly, impose operational burdens on us, and cause us reputational harm, any of which could have a material adverse effect on our business and results of operations.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legal system of the PRC is developing and rapidly evolving, and there are uncertainties that may affect the protection afforded to us.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and activities in China are governed by the PRC laws and regulations. The PRC legal system is generally based on written statutes. Prior court decisions may be cited for reference but have limited precedential value. Since 1979, PRC legislation and regulations have significantly enhanced the protections afforded to various industries in China. However, as these laws and regulations are developing and continue to evolve, interpretation and enforcement of these laws and regulations involve significant uncertainties and different degrees of inconsistency. Some of the laws and regulations are still in the developmental stage and are therefore subject to policy changes. Many laws, regulations, policies and legal requirements have only been recently adopted by PRC central or local government agencies, and their implementation, interpretation and enforcement may involve uncertainty due to the lack of established practice available for reference. We cannot predict the effect of future legal developments in China, including the promulgation of new laws, changes in existing laws or their interpretation or enforcement, or the preemption of local regulations by national laws. For example,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As a result, there are uncertainties as to the legal protections available to us. Furthermore, due to the limited volume of published cases and the non-binding nature of prior court decisions, the outcome of the dispute resolution may not be as consistent or predictable as in other more developed jurisdictions, which may limit the legal protection available to us. For example, the Securities Law most recently amended in December 2019 and effective on March 1, 2020, stipulated that the offering and trading of securities outside the PRC which disrupt the domestic market order of the PRC and harm the legitimate rights and interests of domestic investors shall be dealt with pursuant to the relevant provisions of this Securities Law, and legal liability shall be pursued.</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significant oversight over our business operation could result in a material adverse change in our operations and the value of our ADSs, and it has recently indicated an intent to exert more oversight and control over overseas securities offerings and other capital markets activities and foreign investment in China-based companies.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its significant oversight authority into businesses operating in the PRC, the PRC government may regulate our operations as the government deems appropriate to advance regulatory and societal goals and policy positions. Uncertainties regarding the enforcement of laws and the fact that rules and regulations in the PRC can change quickly with little advance notice, along with the risk of the PRC government's significant oversight over our operations, could have a material adverse effect on our business, financial position, results of operations, access to the capital markets, and the market value of our ADSs.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on July 6, 2021, the General Office of the Communist Party of China Central Committee and the General Office of the State Council issued Several Opinions Concerning Lawfully and Strictly Cracking Down Illegal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Securities Activities. These opinions call for strengthened regulation over illegal securities activities and supervision on overseas listings by China-based companies like us, and propose to take effective measures, such as promoting the construction of relevant regulatory systems to deal with the risks and incidents faced by China-based overseas-listed companies. On February 17, 2023, the CSRC promulgated </w:t>
      </w:r>
      <w:r>
        <w:rPr>
          <w:rFonts w:ascii="Times New Roman" w:cs="Times New Roman" w:eastAsia="Times New Roman" w:hAnsi="Times New Roman"/>
          <w:sz w:val="18"/>
          <w:szCs w:val="18"/>
          <w:i w:val="1"/>
          <w:iCs w:val="1"/>
          <w:color w:val="auto"/>
        </w:rPr>
        <w:t>Trial Administrative Measures of the Overseas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Offering and Listing by Domestic Companies</w:t>
      </w:r>
      <w:r>
        <w:rPr>
          <w:rFonts w:ascii="Times New Roman" w:cs="Times New Roman" w:eastAsia="Times New Roman" w:hAnsi="Times New Roman"/>
          <w:sz w:val="18"/>
          <w:szCs w:val="18"/>
          <w:color w:val="auto"/>
        </w:rPr>
        <w:t>, or the Overseas Listing Trial Measures and relevant five guidelines, which became effective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2023.</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Overseas Listing Trial Measures comprehensively improve and reform the existing regulatory regime for overseas offering and listing of Chinese mainland domestic companies’ securities and regulates both direct and indirect overseas offering and listing of Chinese mainland domestic companies’ securities by adopting a filing-based regulatory regime.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the same day, the CSRC also held a press conference for the release of the Overseas Listing Trial Measures and issued the Notice on Administration for the Filing of Overseas Offering and Listing by Domestic Companies, which, among others, clarifies that (i) prior to the effective date of the Overseas Listing Trial Measures, Chinese mainland domestic companies that have already completed overseas listing shall be regarded as “existing companies”, which are not required to fulfill filing procedure immediately but shall be required to complete the filing if such existing companies conduct refinancing in the future; and (ii) the CSRC will solicit opinions from relevant regulatory authorities and complete the filing of the overseas listing of companies with contractual arrangements which duly meet the compliance requirements, and support the development and growth of these companies by enabling them to utilize two markets and two kinds of resources.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to the best of our knowledge, our business operations do not violate any of the above PRC laws and regulations currently in force in all material respects. Nevertheless, we cannot guarantee that new rules or regulations promulgated in the future will not impose any additional requirement on us. If there are any other approvals, filings and/or other administration procedures to be obtained from or completed with any other PRC regulatory agencies as required by any new laws and regulations for any of our future proposed offering of securities overseas or the listing of the ADSs, we cannot assure you that we can obtain the required approval or complete the required filings or other regulatory procedures in a timely manner, or at all. Any failure to obtain the relevant approvals or complete the filings and other relevant regulatory procedures may subject us to regulatory actions or other sanctions from such PRC regulatory agencies, which may have a material adverse effect on our business, financial condition or results of operations. Additionally, if our clients fail to meet regulatory requirements, it may impact our underwriting business</w:t>
      </w:r>
      <w:r>
        <w:rPr>
          <w:rFonts w:ascii="Arial" w:cs="Arial" w:eastAsia="Arial" w:hAnsi="Arial"/>
          <w:sz w:val="21"/>
          <w:szCs w:val="21"/>
          <w:color w:val="0D0D0D"/>
        </w:rPr>
        <w:t>,</w:t>
      </w:r>
      <w:r>
        <w:rPr>
          <w:rFonts w:ascii="Times New Roman" w:cs="Times New Roman" w:eastAsia="Times New Roman" w:hAnsi="Times New Roman"/>
          <w:sz w:val="18"/>
          <w:szCs w:val="18"/>
          <w:color w:val="auto"/>
        </w:rPr>
        <w:t xml:space="preserve"> thereby having a negative effect on our revenue. For more details, please refer to “Description of Certain PRC Regulations Affecting Our Business - Regulations Relating to Overseas Offerings”.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and direct investment by offshore holding companies to PRC entities may delay or prevent us from using proceeds we received from our initial public offering and the Concurrent Private Placement to make loans or additional capital contributions to our PRC subsidiaries.</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2015, the SAFE published the </w:t>
      </w:r>
      <w:r>
        <w:rPr>
          <w:rFonts w:ascii="Times New Roman" w:cs="Times New Roman" w:eastAsia="Times New Roman" w:hAnsi="Times New Roman"/>
          <w:sz w:val="18"/>
          <w:szCs w:val="18"/>
          <w:i w:val="1"/>
          <w:iCs w:val="1"/>
          <w:color w:val="auto"/>
        </w:rPr>
        <w:t>Circular of the State Administration of Foreign Exchange on Reforming the Management Approach regarding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Settlement of Foreign Exchange Capital of Foreign-invested Enterprises</w:t>
      </w:r>
      <w:r>
        <w:rPr>
          <w:rFonts w:ascii="Times New Roman" w:cs="Times New Roman" w:eastAsia="Times New Roman" w:hAnsi="Times New Roman"/>
          <w:sz w:val="18"/>
          <w:szCs w:val="18"/>
          <w:color w:val="auto"/>
        </w:rPr>
        <w:t>, or the SAFE Circular 19, which has come into effect since June 1,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According to the SAFE Circular 19, foreign-invested enterprises are allowed to convert their registered capital from foreign exchange to Renminbi and apply such funds to equity investment within the PRC, conditioned upon the investment target’s duly registration with local bank of such reinvestment and open a corresponding special account pending for foreign exchange settlement payment. Further, such conversion will be handled at the bank level and does not need to be approved by the SAFE. The SAFE Circular 19 prohibits foreign-invested enterprises from, among other things, using an RMB fund converted from its foreign exchange capital for expenditure beyond its business scope, investment in securities, providing entrusted loans, repaying loans between nonfinancial enterprises or purchasing real estate not for self-use. The SAFE promulgated the </w:t>
      </w:r>
      <w:r>
        <w:rPr>
          <w:rFonts w:ascii="Times New Roman" w:cs="Times New Roman" w:eastAsia="Times New Roman" w:hAnsi="Times New Roman"/>
          <w:sz w:val="18"/>
          <w:szCs w:val="18"/>
          <w:i w:val="1"/>
          <w:iCs w:val="1"/>
          <w:color w:val="auto"/>
        </w:rPr>
        <w:t>Circular on Reforming and Standardizing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Exchange Settlement Management Policy of Capital Account</w:t>
      </w:r>
      <w:r>
        <w:rPr>
          <w:rFonts w:ascii="Times New Roman" w:cs="Times New Roman" w:eastAsia="Times New Roman" w:hAnsi="Times New Roman"/>
          <w:sz w:val="18"/>
          <w:szCs w:val="18"/>
          <w:color w:val="auto"/>
        </w:rPr>
        <w:t>, or the SAFE Circular 16, effective on June 9, 2016, which reiterates some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set forth in the SAFE Circular 19, but changes the prohibition against using RMB capital converted from foreign currency-denominated registered capital of a foreign-invested enterprise to issue RMB entrusted loans, to the prohibition against using such capital to issue loans to non-associated enterprises.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holding company incorporated under the laws of the Cayman Islands, with some of our operations conducted in China, we may make loans to our PRC subsidiaries and VIEs, or we may make additional capital contributions to our wholly foreign-owned subsidiaries in China. Any loans provided by us to our PRC subsidiaries and VIEs are subject to PRC regulations and foreign exchange loan registrations. Such loans to any of our PRC subsidiaries and VIEs cannot exceed a statutory limit and must be filed with SAFE through the online filing system of SAFE pursuant to the applicable PRC regulations. Any such loan with a term of one year or more must be recorded and registered with the National Development and Reform Commission. In addition, the capital of a foreign invested enterprise may not be used for the following purposes: (i) directly or indirectly used for payment beyond the business scope of the enterprises or the payment prohibited by relevant laws and regulations; (ii) directly or indirectly used for investment in securities or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make loans or capital contributions to our subsidiaries and VIEs may be constrained by these regulations, and if we fail to comply with such regulations, our ability to capitalize the relevant PRC subsidiaries or fund our operations may be negatively affected, which could materially and adversely affect the liquidity of our relevant PRC subsidiaries or our business, financial condition, results of operations and growth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penalties, including restrictions on our ability to inject capital into our PRC subsidiaries, if our PRC resident shareholders or beneficial owners fail to comply with relevant PRC foreign exchange regulations.</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July 4, 2014, the SAFE issued the </w:t>
      </w:r>
      <w:r>
        <w:rPr>
          <w:rFonts w:ascii="Times New Roman" w:cs="Times New Roman" w:eastAsia="Times New Roman" w:hAnsi="Times New Roman"/>
          <w:sz w:val="18"/>
          <w:szCs w:val="18"/>
          <w:i w:val="1"/>
          <w:iCs w:val="1"/>
          <w:color w:val="auto"/>
        </w:rPr>
        <w:t>Circular on Several Issues Concerning Foreign Exchange Administration of Domestic Residents Engaging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Overseas Investment, Financing and Round-Trip Investment via Special Purpose Vehicles</w:t>
      </w:r>
      <w:r>
        <w:rPr>
          <w:rFonts w:ascii="Times New Roman" w:cs="Times New Roman" w:eastAsia="Times New Roman" w:hAnsi="Times New Roman"/>
          <w:sz w:val="18"/>
          <w:szCs w:val="18"/>
          <w:color w:val="auto"/>
        </w:rPr>
        <w:t>, or the SAFE Circular 37, which replaced the previous</w:t>
      </w:r>
      <w:r>
        <w:rPr>
          <w:rFonts w:ascii="Times New Roman" w:cs="Times New Roman" w:eastAsia="Times New Roman" w:hAnsi="Times New Roman"/>
          <w:sz w:val="18"/>
          <w:szCs w:val="18"/>
          <w:i w:val="1"/>
          <w:iCs w:val="1"/>
          <w:color w:val="auto"/>
        </w:rPr>
        <w:t xml:space="preserve"> Notice on Relevant Issues Concerning Foreign Exchange Administration for Domestic Residents’ Financing and Roundtrip Investment Through Offshore Special Purpose Vehicles</w:t>
      </w:r>
      <w:r>
        <w:rPr>
          <w:rFonts w:ascii="Times New Roman" w:cs="Times New Roman" w:eastAsia="Times New Roman" w:hAnsi="Times New Roman"/>
          <w:sz w:val="18"/>
          <w:szCs w:val="18"/>
          <w:color w:val="auto"/>
        </w:rPr>
        <w:t>, effective on November 1, 2005, or the SAFE Circular 75. The SAFE Circular 37 requires PRC individuals, institutions and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individuals who have a habitual residence in the PRC due to economic interests, or collectively referred as the PRC residents, to register with the SAFE or its local branches in connection with their direct establishment or indirect control of an offshore entity, for the purpose of overseas investment and financing, with such PRC residents’ legally owned assets or equity interests in domestic enterprises or offshore assets or interests. Such offshore entity is referred to as an offshore special purpose vehicle. In addition, such PRC residents must update their foreign exchange registrations with the SAFE when the offshore special purpose vehicle undergoes material events relating to any change of basic information (including change of such PRC residents, name and operation term), increases or decreases in investment amount, share transfers or exchanges, or mergers or divisions. According to the </w:t>
      </w:r>
      <w:r>
        <w:rPr>
          <w:rFonts w:ascii="Times New Roman" w:cs="Times New Roman" w:eastAsia="Times New Roman" w:hAnsi="Times New Roman"/>
          <w:sz w:val="18"/>
          <w:szCs w:val="18"/>
          <w:i w:val="1"/>
          <w:iCs w:val="1"/>
          <w:color w:val="auto"/>
        </w:rPr>
        <w:t>Circular on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Simplifying and Improving the Administration of Foreign Exchange Concerning Direct Investment </w:t>
      </w:r>
      <w:r>
        <w:rPr>
          <w:rFonts w:ascii="Times New Roman" w:cs="Times New Roman" w:eastAsia="Times New Roman" w:hAnsi="Times New Roman"/>
          <w:sz w:val="18"/>
          <w:szCs w:val="18"/>
          <w:color w:val="auto"/>
        </w:rPr>
        <w:t>released on February 13, 2015 by the SAFE, local banks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examine and handle foreign exchange registration for overseas direct investment, including the initial foreign exchange registration and amendment registration, under the SAFE Circular 37 from June 1, 2015.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shareholder holding interest in an offshore special purpose vehicle, who is a PRC resident as determined by the SAFE Circular 37, fails to fulfill the required foreign exchange registration with the local SAFE branches or its designated banks, the offshore special purpose vehicle may be restricted in its ability to contribute additional capital to its PRC subsidiaries. Moreover, failure to comply with the SAFE registration described above could result in liability under PRC laws for evasion of applicable foreign exchange restrictions.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Tianhua Wu and some other individual shareholders, who indirectly hold shares in our company and who are known to us as being PRC residents have completed the SAFE registration pursuant to the SAFE Circular 37. We have requested all of our current shareholders and/or beneficial owners to disclose whether they or their shareholders or beneficial owners fall within the ambit of the SAFE Circular 37 and urged relevant shareholders, upon learning that they are PRC residents, to register with the local SAFE branch or its designated bank as required under the SAFE Circular 37. However, we may not be fully informed of the identities of all our shareholders or beneficial owners who are PRC residents, and we cannot provide any assurance that all of our shareholders and beneficial owners who are PRC residents will comply with our requests to make, obtain or update any applicable registrations or comply with other requirements pursuant to the SAFE Circular 37 or other related rules in a timely manner. Failure of our existing and future shareholders who are PRC residents to register or amend their foreign exchange registrations in a timely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manner pursuant to the SAFE Circular 37 and subsequent implementation rules may subject such beneficial owners or our wholly-owned PRC subsidiary to fines and legal sanctions. Failure to register or comply with the relevant requirements may also limit our ability to contribute additional capital to our WFOEs for the research and development and other supporting functions. These risks may have a material adverse effect on our business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be subject to PRC withholding tax on dividends from us and PRC income tax on any gain realized on the transfer of our shares or ADSs if we are deemed a PRC resident enterprise.</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described above, we may be treated as a PRC resident enterprise for PRC tax purposes. Under the EIT Law and its implementation rules, PRC withholding tax at the rate of 10% is normally applicable to PRC sourced dividends payable to investors that are non-PRC resident enterprises, which do not have an establishment or place of business in PRC, or which have such establishment or place of business if the relevant income is not effectively connected with the establishment or place of business. Any gain realized on the transfer of ADSs or shares by such non-PRC resident enterprise investors is also subject to a 10% PRC income tax if such gain is regarded as income derived from sources within the PRC. Under the </w:t>
      </w:r>
      <w:r>
        <w:rPr>
          <w:rFonts w:ascii="Times New Roman" w:cs="Times New Roman" w:eastAsia="Times New Roman" w:hAnsi="Times New Roman"/>
          <w:sz w:val="18"/>
          <w:szCs w:val="18"/>
          <w:i w:val="1"/>
          <w:iCs w:val="1"/>
          <w:color w:val="auto"/>
        </w:rPr>
        <w:t>PRC Individual Income Tax Law</w:t>
      </w:r>
      <w:r>
        <w:rPr>
          <w:rFonts w:ascii="Times New Roman" w:cs="Times New Roman" w:eastAsia="Times New Roman" w:hAnsi="Times New Roman"/>
          <w:sz w:val="18"/>
          <w:szCs w:val="18"/>
          <w:color w:val="auto"/>
        </w:rPr>
        <w:t xml:space="preserve"> and its implementation rules, PRC sourced dividends paid to non-PRC individual investors are generally subject to a PRC withholding tax at a rate of 20% and gains from PRC sources realized by such investors on the transfer of ADSs or shares are generally subject to a 20% PRC income tax. While substantially all of our brokerage operations are in New Zealand or Singapore, it is unclear whether dividends we pay with respect to our ADSs, or the gain realized from the transfer of our ADSs, would be treated as the income derived from sources within the PRC and as a result be subject to PRC income tax if we were considered a PRC resident enterprise, as described above. See Item 3.D “Risk Factors — Risks Related to Doing Business in China – We may be deemed to be a PRC resident enterprise under the Enterprise Income Tax Law, or the EIT Law, and be subject to the PRC taxation on our worldwide income, which may significantly increase our income tax expenses and materially decrease our profitability.” If PRC income tax were imposed on gains realized through the transfer of our ADSs or on dividends paid to our non-resident investors, the value of your investment in our ADSs may be materially and adversely affected. Any PRC tax liability described above may be reduced under applicable tax treaties. However, it is unclear whether our ADS holders whose jurisdictions of residence have tax treaties or arrangements with China will be able to obtain the benefits of such tax treaties or arrangements, if the prerequisites provided under the relevant treaties or arrangements were not satisfied.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certain tax benefits for dividends paid by our PRC subsidiaries to us through our Hong Kong subsidiaries.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EIT Law and its implementation rules, if a non-resident enterprise has not set up an establishment in the PRC, or has set up an establishment therein but its income has no actual connection with such establishment, it will be subject to a withholding tax on its PRC-sourced income at a rate of 10%. Pursuant to the </w:t>
      </w:r>
      <w:r>
        <w:rPr>
          <w:rFonts w:ascii="Times New Roman" w:cs="Times New Roman" w:eastAsia="Times New Roman" w:hAnsi="Times New Roman"/>
          <w:sz w:val="18"/>
          <w:szCs w:val="18"/>
          <w:i w:val="1"/>
          <w:iCs w:val="1"/>
          <w:color w:val="auto"/>
        </w:rPr>
        <w:t>Arrangement between the Chinese mainland and the Hong Kong Special Administrative Region for the Avoidance of Double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Taxation and the Prevention of Fiscal Evasion with Respect to Taxes on Income</w:t>
      </w:r>
      <w:r>
        <w:rPr>
          <w:rFonts w:ascii="Times New Roman" w:cs="Times New Roman" w:eastAsia="Times New Roman" w:hAnsi="Times New Roman"/>
          <w:sz w:val="18"/>
          <w:szCs w:val="18"/>
          <w:color w:val="auto"/>
        </w:rPr>
        <w:t>, or the “Double Taxation Arrangement,” the withholding tax rate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paid by a PRC enterprise to a Hong Kong enterprise is reduced to 5% from a standard rate of 10% if the Hong Kong enterprise directly holds at least 25% of the equity interests of the PRC enterprise. There are also other conditions for enjoying the reduced withholding tax rate according to other relevant tax rules and regulations. See Item 4.B “Business Overview-Operating and Financial Review and Prospects-Regulations Relating to Tax-PRC Regulations on Dividend Withholding Tax.” We cannot assure you that our determination regarding our qualification to enjoy the preferential tax treatment will not be challenged by the relevant PRC tax authority that or we will be able to complete the necessary filings with the relevant PRC tax authority and enjoy the preferential withholding tax rate of 5% under the Double Taxation Arrangement with respect to dividends to be paid by our PRC subsidiaries to our Hong Kong subsidiaries.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may restrict our ability to convert Renminbi into foreign currency and remit such currency out of the PRC to pay capital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revenues were largely generated by our wholly owned subsidiaries outside of PRC, which pay the consolidated VIEs and their subsidiaries periodically for the services rendered through inter-company transactions. We do not rely on the consolidated VIEs to distribute earnings to the parent company or to U.S. investors. Under existing PRC foreign exchange regulations, payments of current account items, including profit distributions, interest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payments and trade and service-related foreign exchange transactions, can be made in foreign currencies without the prior SAFE approval as long as certain routine procedural requirements are fulfilled. Therefore, our PRC subsidiaries are allowed to pay dividends in foreign currencies to us without prior SAFE approval by following certain routine procedural requirements. However, approval from or registration with competent government authorities is required where Renminbi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 which could have a material adverse effect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Their Respective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contractual arrangements to control the VIEs due to restrictions or prohibitions on foreign ownership of Internet technology services and other related businesses in China. According to the Negative List (as defined elsewhere in this report) that took effect on November 1, 2024, the restrictions on the controlling stake of Internet technology service companies still exist, and foreign investments in this business are also restricted by other qualifications and requirements under relevant regulations in China.</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WFOEs, Beijing Bohu and Beijing Yixin, respectively, have the sole discretion to receive from the relevant VIE an annual service fee at an amount of at least 99% of the respective VIE’s annual net profit. In addition, Beijing Bohu and Beijing Yixin are entitled to receive certain fees for other technical services at the amount mutually agreed upon by Beijing Bohu or Beijing Yixin and the respective VIE. Beijing Bohu and Beijing Yixin did not collect any service fees from the VIEs in the last three fiscal years and will make discretionary determinations on whether to collect services fees and on the amount of fees to be collected. We do not have unfettered access to Beijing Bohu’s, Beijing Yixin’s and the respective VIEs’ revenues due to PRC legal restrictions on the payment of dividends by PRC companies, foreign exchange control restrictions, and the restrictions on foreign investment, among others.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our direct ownership in Beijing Bohu and Beijing Yixin, and the contractual arrangements with the VIEs, we are regarded as the primary beneficiary of the VIEs, and we treat them as our consolidated affiliated entities under U.S. GAAP. We have consolidated the financial results of the VIEs in our consolidated financial statements in accordance with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provide us with effective control over the VIEs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Powers of Attorney</w:t>
      </w:r>
      <w:r>
        <w:rPr>
          <w:rFonts w:ascii="Times New Roman" w:cs="Times New Roman" w:eastAsia="Times New Roman" w:hAnsi="Times New Roman"/>
          <w:sz w:val="18"/>
          <w:szCs w:val="18"/>
          <w:color w:val="auto"/>
        </w:rPr>
        <w:t>. Pursuant to the Powers of Attorney dated November 1, 2023 among Beijing Bohu and each of the shareholders of Beijing Rongke,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replaced and superseded the prior version dated October 11, 2022 because some of the shareholders exited Beijing Rongke, each of the shareholders of Beijing Rongke irrevocably authorized Beijing Bohu to act as its attorney-in-fact to exercise all of its rights as a shareholder of Beijing Rongke, including, but not limited to, the right to attend shareholders’ meetings, vote on any resolution that requires a shareholder vote, such as the sale, transfer, disposal and pledge of all or part of the equity interest owned by such shareholder, and decide on the appointment and removal of directors, supervisors and officers. Beijing Bohu can assign or transfer under the aforementioned Powers of Attorney at its own discretion to any other person or entity without notice to or consent from any or all of the shareholders of Beijing Rongke. The Power of Attorney will remain effective and irrevocable with respect to each shareholder of Beijing Rongke until he or she ceases to be a shareholder of Beijing Rongke.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30, 2018, Beijing Yixin and each of the shareholders of Beijing Yiyi entered into a Power of Attorney, which contain terms substantially similar to the Powers of Attorney executed by the shareholders of Beijing Rongke described above.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Exclusive Option Contracts</w:t>
      </w:r>
      <w:r>
        <w:rPr>
          <w:rFonts w:ascii="Times New Roman" w:cs="Times New Roman" w:eastAsia="Times New Roman" w:hAnsi="Times New Roman"/>
          <w:sz w:val="18"/>
          <w:szCs w:val="18"/>
          <w:color w:val="auto"/>
        </w:rPr>
        <w:t>. Pursuant to the Exclusive Option Contract dated November 1, 2023, among Beijing Bohu, Beijing Rongke and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of Beijing Rongke, which replaced and superseded the version dated October 11, 2022 because some of the shareholders exited Beijing Rongke, the shareholders of Beijing Rongke have irrevocably granted Beijing Bohu an exclusive option to purchase all or part of their equity interests in Beijing Rongke.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Beijing Rongke has irrevocably granted Beijing Bohu an exclusive option to purchase all or part of its assets. Beijing Bohu or its designated person(s) may exercise such options at RMB10 or at the lowest price permitted under applicable PRC laws, whichever is lower. The shareholders of Beijing Rongke undertake that, without Beijing Bohu’s prior written consent, they will not, among other things, (i) create any pledge or encumbrance on their equity interests in Beijing Rongke, (ii) transfer or otherwise dispose of their equity interests in Beijing Rongke, (iii) change Beijing Rongke’s registered capital,</w:t>
      </w:r>
    </w:p>
    <w:p>
      <w:pPr>
        <w:spacing w:after="0" w:line="3" w:lineRule="exact"/>
        <w:rPr>
          <w:sz w:val="20"/>
          <w:szCs w:val="20"/>
          <w:color w:val="auto"/>
        </w:rPr>
      </w:pPr>
    </w:p>
    <w:p>
      <w:pPr>
        <w:jc w:val="both"/>
        <w:ind w:firstLine="8"/>
        <w:spacing w:after="0" w:line="253" w:lineRule="auto"/>
        <w:tabs>
          <w:tab w:leader="none" w:pos="3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 revise or amend Beijing Rongke’s articles of association, or (v) allow Beijing Rongke to merge with any other entity. In addition, Beijing Rongke undertakes that, without Beijing Bohu’s prior written consent, it will not, among other things, create any pledge or encumbrance on any of its assets, or enter into any material contracts (except in the ordinary course of business). The Exclusive Option Contract will remain effective for a term of ten years and renewable in accordance with the sole discretion of Beijing Bohu.</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30, 2018, Beijing Yixin and each shareholder of Beijing Yiyi entered into an Exclusive Option Contract which contain terms substantially similar to the Exclusive Option Contract described above.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Spouse Consent Letters</w:t>
      </w:r>
      <w:r>
        <w:rPr>
          <w:rFonts w:ascii="Times New Roman" w:cs="Times New Roman" w:eastAsia="Times New Roman" w:hAnsi="Times New Roman"/>
          <w:sz w:val="18"/>
          <w:szCs w:val="18"/>
          <w:color w:val="auto"/>
        </w:rPr>
        <w:t>. Pursuant to the Spouse Consent Letters dated December 17, 2018, the spouse of each married shareholder of Beijing Rongke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restated and amended the version dated June 7, 2018, unconditionally and irrevocably agreed not to assert any rights over the equity interest in Beijing Rongke held by and registered in the name of their spouse. In addition, each of them agreed to be bound by the contractual arrangements described here if the spouse obtains any equity interest in Beijing Rongke for any reason.</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30, 2018, the spouse of each shareholder of Beijing Yiyi signed two Spouse Consent Letters, which contain terms substantially similar to the Spouse Consent Letters described above.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Commitment Letters</w:t>
      </w:r>
      <w:r>
        <w:rPr>
          <w:rFonts w:ascii="Times New Roman" w:cs="Times New Roman" w:eastAsia="Times New Roman" w:hAnsi="Times New Roman"/>
          <w:sz w:val="18"/>
          <w:szCs w:val="18"/>
          <w:color w:val="auto"/>
        </w:rPr>
        <w:t>. Pursuant to the Commitment Letters dated November 1, 2023, the shareholders of Beijing Rongke which replaced and superseded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version dated October 11, 2022 because some of the shareholders exited Beijing Rongke, undertake that, when Beijing Bohu exercises its options under the Exclusive Option Contracts, they will refund, without any conditions, any amount and fees to Beijing Bohu which exceed the share purchase price provided in the Exclusive Option Contracts.</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30, 2018, each of the shareholders of Beijing Yiyi executed a Commitment Letter, which contain terms substantially similar to the Commitment Letters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allow us to receive economic benefits from the VIEs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Pledge Contracts. </w:t>
      </w:r>
      <w:r>
        <w:rPr>
          <w:rFonts w:ascii="Times New Roman" w:cs="Times New Roman" w:eastAsia="Times New Roman" w:hAnsi="Times New Roman"/>
          <w:sz w:val="18"/>
          <w:szCs w:val="18"/>
          <w:color w:val="auto"/>
        </w:rPr>
        <w:t>Pursuant to the Equity Pledge Contract dated November 1, 2023 among Beijing Bohu(previously known as Ningxia Yixin),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Beijing Rongke (previously known as Ningxia Rongke) and each shareholder of Beijing Rongke, which replaced and superseded the version dated October 11, 2022 because some of the shareholders exited Beijing Rongke, the shareholders of Beijing Rongke have agreed to pledge 100% of the equity interests in Beijing Rongke for the benefit of Beijing Bohu. In the event of a breach by Beijing Rongke or its any shareholder of contractual obligations under the Equity Pledge Contract, Beijing Bohu, as pledgee, will have the right to dispose of the pledged 100% equity interests in Beijing Bohu and will have priority in receiving the proceeds from such disposal.</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shareholders of Beijing Rongke also undertake that, without prior written consent of Beijing Bohu, they will not dispose of, create or allow any encumbrance on the pledged equity interests and rights. Beijing Rongke further undertakes that, there is no other pledge or any other encumbrance on the assets owned by it that will or is likely to affect Beijing Bohu’s pledged equity interests and rights, including but not limited to any transfer of intellectual property rights or transfer of any asset with a value exceeding RMB0.5 million (except in the ordinary course of business). Beijing Rongke further undertakes that, without the prior written consent of Beijing Bohu, they will not assist or allow any encumbrance to be created on the pledged equity interests. The equity pledge under the Amended Equity Pledge Contract will not be effective until Beijing Rongke and its shareholders complete relevant registration with appropriate government authorities.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30, 2018, Beijing Yixin, Beijing Yiyi and each shareholder of Beijing Yiyi entered into an Equity Pledge Contract, which contains terms substantially similar to the Amended Equity Pledge Contract described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completed the registration of the equity pledge of Beijing Yiyi on December 27, 2018 under the Equity Pledge Contract with the State Administration for Market Regulation (the “SAMR”), in accordance with the PRC Property Rights Law.</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Exclusive Business Cooperation Agreements. </w:t>
      </w:r>
      <w:r>
        <w:rPr>
          <w:rFonts w:ascii="Times New Roman" w:cs="Times New Roman" w:eastAsia="Times New Roman" w:hAnsi="Times New Roman"/>
          <w:sz w:val="18"/>
          <w:szCs w:val="18"/>
          <w:color w:val="auto"/>
        </w:rPr>
        <w:t>Pursuant to the Exclusive Business Cooperation Agreement dated June 7, 2018 between Beijing Bohu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Beijing Rongke, Beijing Bohu has the exclusive right to provide Beijing Rongke with the consulting and technical services required by Beijing Rongke’s business. Without Beijing Bohu’s prior written consent, Beijing Rongke may not accept any services subject to this Exclusive Business Cooperation Agreement from any third party. Beijing Rongke agrees to pay Beijing Bohu an annual service fee at an amount of no less than 99% of its net profit or the amount which is adjusted at any time at the sole discretion of Beijing Bohu. Beijing Bohu has the exclusive ownership of all the intellectual property rights created as a result of the performance of the Exclusive Business Cooperation Agreement, to the extent permitted by applicable PRC laws. Beijing Rongke also undertakes that upon the request of Beijing Bohu, it will assist Beijing Bohu in the consummation of the assignment or transfer of the relevant intellectual property rights, including but not limited to entering into a transfer or license agreement at no or a nominal consideration as well as fulfilling the necessary registration. To guarantee Beijing Rongke’s performance of its obligations thereunder, its shareholders have pledged their equity interests in Beijing Rongke to Beijing Bohu pursuant to the Equity Pledge Contract. The Exclusive Business Cooperation Agreement will remain effective for a term of ten years and unconditionally renewable at the sole discretion of Beijing Bohu.</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30, 2018, Beijing Yixin and Beijing Yiyi entered into an Exclusive Business Cooperation Agreement, which contains terms substantially similar to the Exclusive Business Cooperation Agreement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Certain PRC Regulations Affecting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regulation by multiple PRC laws, regulations, and governing authorities, as described in more detail below. To date, except as disclosed under the risk factor headed “We may be adversely affected by the complexity, uncertainties and changes in the PRC regulations of Internet-related businesses and companies, and any lack of requisite licenses, permits or approvals applicable to our business may have a material adverse effect on our business and results of operations” and subject to the official interpretation and implementation of and potential further action pursuant to CSRC 1230 Notice (as defined below), to our knowledge our PRC subsidiaries and the VIEs have received all permissions or approvals that we believe are required and necessary to conduct our current business operations within the PRC in all material aspects. In reaching this determination, we have relied in part on the advice of our PRC legal counsel, JunHe LLP. However, there is no guarantee that we will be able to obtain all requisite permissions and approvals in the future. Besides, if the CSRC imposes other further regulatory actions or penalties on us, our business and results of operations within the PRC may be materially and adversely affected. In addition, there are uncertainties regarding the interpretation and application of current and future PRC laws, regulations and rules and the PRC regulatory authorities may take a view that is contrary to the opinion of us. For more information, refer to the risk factor above under the heading “If the agreements that establish the structure for operating some of our activities in China do not comply with PRC regulations, or if we fail to obtain all required permissions and approvals required by Chinese regulatory authorities or if these regulations change in the future, we could be subject to severe penalties or be forced to relinquish our interests in those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Relating to Securities and Futures Brokerage Business</w:t>
      </w:r>
    </w:p>
    <w:p>
      <w:pPr>
        <w:spacing w:after="0" w:line="200" w:lineRule="exact"/>
        <w:rPr>
          <w:sz w:val="20"/>
          <w:szCs w:val="20"/>
          <w:color w:val="auto"/>
        </w:rPr>
      </w:pPr>
    </w:p>
    <w:p>
      <w:pPr>
        <w:spacing w:after="0" w:line="24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Under existing PRC securities laws and regulations, including the </w:t>
      </w:r>
      <w:r>
        <w:rPr>
          <w:rFonts w:ascii="Times New Roman" w:cs="Times New Roman" w:eastAsia="Times New Roman" w:hAnsi="Times New Roman"/>
          <w:sz w:val="18"/>
          <w:szCs w:val="18"/>
          <w:i w:val="1"/>
          <w:iCs w:val="1"/>
          <w:color w:val="auto"/>
        </w:rPr>
        <w:t>Securities Law of the PRC</w:t>
      </w:r>
      <w:r>
        <w:rPr>
          <w:rFonts w:ascii="Times New Roman" w:cs="Times New Roman" w:eastAsia="Times New Roman" w:hAnsi="Times New Roman"/>
          <w:sz w:val="18"/>
          <w:szCs w:val="18"/>
          <w:color w:val="auto"/>
        </w:rPr>
        <w:t>, which became effective on March 1, 2020, operating securities business in the PRC, including, among others, securities brokerage business, futures brokerage business, stock option brokerage business, and securities and futures investment consulting services, requires a securities brokerage license or certain other approvals from the Chinese Securities Regulatory Commission, or the CSRC. In addition, the Securities Law also stipulates that the offering and trading of securities outside the PRC which disrupt the domestic market order of the PRC and harm the legitimate rights and interests of domestic investors are subject to the relevant provisions of the Securities Law and the legal liabilities imposed thereunder. The Securities Law places particular emphasis on, among other things, (i) the reform of the registration-based IPO system, (ii) the imposition of more severe punishments for violations, and (iii) the enhancement of protection for retail investors.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early 2023, the CSRC’s </w:t>
      </w:r>
      <w:r>
        <w:rPr>
          <w:rFonts w:ascii="Times New Roman" w:cs="Times New Roman" w:eastAsia="Times New Roman" w:hAnsi="Times New Roman"/>
          <w:sz w:val="18"/>
          <w:szCs w:val="18"/>
          <w:i w:val="1"/>
          <w:iCs w:val="1"/>
          <w:color w:val="auto"/>
        </w:rPr>
        <w:t>Measures for the Administration of the Securities Brokerage Business</w:t>
      </w:r>
      <w:r>
        <w:rPr>
          <w:rFonts w:ascii="Times New Roman" w:cs="Times New Roman" w:eastAsia="Times New Roman" w:hAnsi="Times New Roman"/>
          <w:sz w:val="18"/>
          <w:szCs w:val="18"/>
          <w:color w:val="auto"/>
        </w:rPr>
        <w:t xml:space="preserve"> took effect. Under these measures, an overseas securities business entity that conducts securities business or establishes a representative office in Chinese mainland shall obtain the approval of the securities regulatory authority of the State Council. The specific measures shall be formulated by the securities regulatory agency of the State Council and submitted to the State Council for approval. An overseas securities business entity violating Article 95 of the Regulations on Supervision and Administration of Securities Firms, directly or through its affiliates conducting activities such as opening accounts, marketing, and providing other overseas securities trading services for domestic investors without authorization, shall be penalized in accordance with the </w:t>
      </w:r>
      <w:r>
        <w:rPr>
          <w:rFonts w:ascii="Times New Roman" w:cs="Times New Roman" w:eastAsia="Times New Roman" w:hAnsi="Times New Roman"/>
          <w:sz w:val="18"/>
          <w:szCs w:val="18"/>
          <w:i w:val="1"/>
          <w:iCs w:val="1"/>
          <w:color w:val="auto"/>
        </w:rPr>
        <w:t>Securities Law of the PRC</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Failure to comply with these laws and regulations may result in penalties, including rectification requirements, confiscation of illegal proceeds, fines, or even shutting down of business. We have received notices from the CSRC under these laws and regulations and have taken measures in response. For further details, see Item 3.D “Risk Factors-Risks Related to Our Business and Industry-We may not be able to obtain or maintain all necessary licenses, permits and approvals and to make all necessary registrations and filings for our activities in multiple jurisdictions and related to residents therein, especially in China or otherwise related to PRC residents.”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Relating to Foreign Investment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6, 2024, the Special Administrative Measures for Market Access of Foreign Investment (Negative List) (2024 Edition), or the Negative List, was promulgated by the MOFCOM and NDRC and took effect on November 1, 2024, whereby the Special Administrative Measures for Market Access of Foreign Investment (Negative List) (2021 Edition) was simultaneously repealed. Specifically, the Negative List provides that foreign investors shall hold no more than 50% of the equity interests in a service provider operating certain value-added telecommunications services other than for e-commerce, domestic multi-party communication, store and forward class and call center.</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March 15, 2019, the </w:t>
      </w:r>
      <w:r>
        <w:rPr>
          <w:rFonts w:ascii="Times New Roman" w:cs="Times New Roman" w:eastAsia="Times New Roman" w:hAnsi="Times New Roman"/>
          <w:sz w:val="18"/>
          <w:szCs w:val="18"/>
          <w:i w:val="1"/>
          <w:iCs w:val="1"/>
          <w:color w:val="auto"/>
        </w:rPr>
        <w:t>Foreign Investment Law of PRC</w:t>
      </w:r>
      <w:r>
        <w:rPr>
          <w:rFonts w:ascii="Times New Roman" w:cs="Times New Roman" w:eastAsia="Times New Roman" w:hAnsi="Times New Roman"/>
          <w:sz w:val="18"/>
          <w:szCs w:val="18"/>
          <w:color w:val="auto"/>
        </w:rPr>
        <w:t>, or the FIL, was issued by the National People’s Congress and took effect on January 1, 2020, which also provides that the industries in which foreign investment is not restricted and prohibited shall be administered under the principle of equal treatment to domestic investment. On December 26, 2019, the State Council published the FIL Implementation Rules, which took effect on January 1, 2020. Furthermore, on December 19, 2020, the NDRC and the MOFCOM jointly issued the Measures for Security Review of Foreign Investment, effective on January 18, 2021, which provides detailed guidance regarding security review of foreign investment that has a potential impact on national security.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Foreign investment in telecommunications companies in the PRC is governed by the </w:t>
      </w:r>
      <w:r>
        <w:rPr>
          <w:rFonts w:ascii="Times New Roman" w:cs="Times New Roman" w:eastAsia="Times New Roman" w:hAnsi="Times New Roman"/>
          <w:sz w:val="18"/>
          <w:szCs w:val="18"/>
          <w:i w:val="1"/>
          <w:iCs w:val="1"/>
          <w:color w:val="auto"/>
        </w:rPr>
        <w:t>Provisions on Administration of Foreign-Invested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Telecommunications Enterprises</w:t>
      </w:r>
      <w:r>
        <w:rPr>
          <w:rFonts w:ascii="Times New Roman" w:cs="Times New Roman" w:eastAsia="Times New Roman" w:hAnsi="Times New Roman"/>
          <w:sz w:val="18"/>
          <w:szCs w:val="18"/>
          <w:color w:val="auto"/>
        </w:rPr>
        <w:t>, or the Foreign-Invested Telecommunications Enterprises Provisions, which were promulgated by the State Council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11, 2001, and amended on September 10, 2008 and February 6, 2016. The Foreign-Invested Telecommunications Enterprises Provisions prohibits a foreign investor from holding over 50% of the total equity interests in any value-added telecommunications service business in Chinese mainland. On March 29, 2022, the State Council published the Decision of the State Council to Amend and Repeal Certain Administrative Regulations, among which the Foreign-Invested Telecommunications Enterprises Provisions was further amended. The latest version removes certain requirements for foreign-invested telecommunications enterprises and came into effect on May 1,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Relating to Internet Companies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Value-Added Telecommunication Services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Telecommunications Regulations of the PRC</w:t>
      </w:r>
      <w:r>
        <w:rPr>
          <w:rFonts w:ascii="Times New Roman" w:cs="Times New Roman" w:eastAsia="Times New Roman" w:hAnsi="Times New Roman"/>
          <w:sz w:val="18"/>
          <w:szCs w:val="18"/>
          <w:color w:val="auto"/>
        </w:rPr>
        <w:t xml:space="preserve">, or the Telecommunications Regulations, promulgated by the State Council on September 25, 2000 and amended on July 29, 2014 and February 6, 2016, telecommunication service providers must obtain an operating license prior to the commencement operations. The Telecommunications Regulations categorize telecommunication services into basic telecommunication services and value-added telecommunication services. According to the </w:t>
      </w:r>
      <w:r>
        <w:rPr>
          <w:rFonts w:ascii="Times New Roman" w:cs="Times New Roman" w:eastAsia="Times New Roman" w:hAnsi="Times New Roman"/>
          <w:sz w:val="18"/>
          <w:szCs w:val="18"/>
          <w:i w:val="1"/>
          <w:iCs w:val="1"/>
          <w:color w:val="auto"/>
        </w:rPr>
        <w:t>Catalog of Telecommunications Business</w:t>
      </w:r>
      <w:r>
        <w:rPr>
          <w:rFonts w:ascii="Times New Roman" w:cs="Times New Roman" w:eastAsia="Times New Roman" w:hAnsi="Times New Roman"/>
          <w:sz w:val="18"/>
          <w:szCs w:val="18"/>
          <w:color w:val="auto"/>
        </w:rPr>
        <w:t>, attached to the Telecommunications Regulations, information services provided via fixed network, mobile network and Internet fall within value-added telecommunication services.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Administrative Measures on Internet Information Services</w:t>
      </w:r>
      <w:r>
        <w:rPr>
          <w:rFonts w:ascii="Times New Roman" w:cs="Times New Roman" w:eastAsia="Times New Roman" w:hAnsi="Times New Roman"/>
          <w:sz w:val="18"/>
          <w:szCs w:val="18"/>
          <w:color w:val="auto"/>
        </w:rPr>
        <w:t>, promulgated by the State Council in 2000 and amended in 2011, “Internet information services” refer to the provision of information through the Internet to online users, and are divided into “commercial Internet information services” and “non-commercial Internet information services”. Under the Telecommunications Regulations and relevant administrative measures, commercial operators of value-added telecommunications services must first obtain a license for conducting Internet content provision services, or an “ICP License”, from the Ministry of Industry and Information Technology, or the MIIT, or its provincial level branches. Otherwise, such operator might be subject to sanctions including corrective orders and warnings, imposition of fines and confiscation of illegal gains and, in the case of significant infringement, orders to close the website.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affiliated entity, Beijing Yiyi’s subsidiaries have applied for or obtained ICP License for providing financial and market information to our users, while we cannot guarantee that Beijing Yiyi’s subsidiaries may at all times continue or maintain such license(s) due to uncertainties from PRC governmental authorities. With respect to the risk of not obtaining, continue or maintain the ICP License, please refer to “Item 3. Key Information – Certain Risks Related to Our Chinese Operations and Operating Structure – We may be adversely affected by the complexity, uncertainties and changes in PRC regulation of Internet-related businesses and companies, and any lack of requisite licenses, permits or approvals applicable to our business may have a material adverse effect on our business and results of operations.”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 on Mobile Internet Applications Information Services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APP is also regulated by the </w:t>
      </w:r>
      <w:r>
        <w:rPr>
          <w:rFonts w:ascii="Times New Roman" w:cs="Times New Roman" w:eastAsia="Times New Roman" w:hAnsi="Times New Roman"/>
          <w:sz w:val="18"/>
          <w:szCs w:val="18"/>
          <w:i w:val="1"/>
          <w:iCs w:val="1"/>
          <w:color w:val="auto"/>
        </w:rPr>
        <w:t>Provisions on the Administration of Mobile Internet Applications Information Services</w:t>
      </w:r>
      <w:r>
        <w:rPr>
          <w:rFonts w:ascii="Times New Roman" w:cs="Times New Roman" w:eastAsia="Times New Roman" w:hAnsi="Times New Roman"/>
          <w:sz w:val="18"/>
          <w:szCs w:val="18"/>
          <w:color w:val="auto"/>
        </w:rPr>
        <w:t xml:space="preserve">, or the APP Provisions, promulgated by the Cyberspace Administration of China (CAC), on June 28, 2016 and amended in 2022. The latest version became effective on August 1, 2022. According to the APP Provisions, the providers of APPs shall not create, copy, publish or distribute information and content that is prohibited by laws and regulations. However, we cannot assure that all the information or content displayed on, retrieved from or linked to our APP comply with the requirements of the APP Provisions at all times. If our APP were found to be violating the APP Provisions, we may be subject to administrative penalties, including warning, service suspension or removal of our APP from the relevant APP store, which may materially and adversely affect our business and operating results. Besides, the MIIT issued the </w:t>
      </w:r>
      <w:r>
        <w:rPr>
          <w:rFonts w:ascii="Times New Roman" w:cs="Times New Roman" w:eastAsia="Times New Roman" w:hAnsi="Times New Roman"/>
          <w:sz w:val="18"/>
          <w:szCs w:val="18"/>
          <w:i w:val="1"/>
          <w:iCs w:val="1"/>
          <w:color w:val="auto"/>
        </w:rPr>
        <w:t>Notice of Carrying out the Filing of Mobile Internet Applications</w:t>
      </w:r>
      <w:r>
        <w:rPr>
          <w:rFonts w:ascii="Times New Roman" w:cs="Times New Roman" w:eastAsia="Times New Roman" w:hAnsi="Times New Roman"/>
          <w:sz w:val="18"/>
          <w:szCs w:val="18"/>
          <w:color w:val="auto"/>
        </w:rPr>
        <w:t xml:space="preserve"> on July 21, 2023, which proposes the requirements that developers of Apps engaged in Internet information services within the PRC must comply with certain filing requirements in accordance with the relevant regulations and such holders shall not engage in the App Internet information service without completion of such filing. See “Item 3. Key Information – Certain Risks Related to Our Chinese Operations and Operating Structure – We may be adversely affected by the complexity, uncertainties and changes in PRC regulation of Internet-related businesses and companies, and any lack of requisite licenses, permits or approvals applicable to our business may have a material adverse effect on our business and results of operations.”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Internet Audio-Video Program Services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Administrative Regulations on Internet Audio-Video Program Services</w:t>
      </w:r>
      <w:r>
        <w:rPr>
          <w:rFonts w:ascii="Times New Roman" w:cs="Times New Roman" w:eastAsia="Times New Roman" w:hAnsi="Times New Roman"/>
          <w:sz w:val="18"/>
          <w:szCs w:val="18"/>
          <w:color w:val="auto"/>
        </w:rPr>
        <w:t>, or the Internet Audio-Video Program Services Regulations promulgated by the State Administration of Press, Publication, Radio, Film and Television, or the “SAPPRFT” (which has been divided into National Radio and Television Administration, or NRTA, National Press and Publication Administration, or NPPA, and China Film Administration), which became effective on January 31, 2008 and was amended on August 28, 2015, sets forth the principal rules and requirements on the Internet audio-video program services. According to the Internet Audio-Video Program Services Regulations and other regulations, an Internet audio-video program service provider must obtain an audio-video license issued by National Radio and Television Administration before spreading audio-video programs via the Internet. The audio-video program services are defined as the activities of making, editing and integrating audio-video programs and providing them to the public via the Internet or providing services for other people to upload and spread audio-video programs. In addition, the Internet Audio-Video Program Services Regulations only allow state-owned or state-controlled enterprises to apply for such license. Any entity that fails to obtain an audio-video license but operates relevant audio-video services may face administrative penalties including warnings, rectification orders and fines of no more than RMB30,000, and in severe cases, bans from doing business, confiscation of equipment utilized in providing such services and fines ranging from one to two times of the investment amounts of the entity.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 on Internet Publishing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4, 2016, the SAPPRFT, and the MIIT jointly issued the Administrative Measures of Internet Publishing Services, or the Internet Publishing Measures, which became effective on March 10, 2016. According to the Internet Publishing Measures, an entity shall obtain an online publishing service license issued by the provincial branch of NPPA to provide online publishing services. Online publishing services refer to the provision of online publications to the public through information networks. Online publications refer to digital works with publishing features such as having been edited, produced or processed and are made available to the public through information networks.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Financial Information Services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December 26, 2018, the CAC promulgated the </w:t>
      </w:r>
      <w:r>
        <w:rPr>
          <w:rFonts w:ascii="Times New Roman" w:cs="Times New Roman" w:eastAsia="Times New Roman" w:hAnsi="Times New Roman"/>
          <w:sz w:val="18"/>
          <w:szCs w:val="18"/>
          <w:i w:val="1"/>
          <w:iCs w:val="1"/>
          <w:color w:val="auto"/>
        </w:rPr>
        <w:t>Provisions on Administration of Financial Information Services</w:t>
      </w:r>
      <w:r>
        <w:rPr>
          <w:rFonts w:ascii="Times New Roman" w:cs="Times New Roman" w:eastAsia="Times New Roman" w:hAnsi="Times New Roman"/>
          <w:sz w:val="18"/>
          <w:szCs w:val="18"/>
          <w:color w:val="auto"/>
        </w:rPr>
        <w:t>, taking effect on February 1, 2019. These provisions set forth general qualification, management and content requirements for financial information service providers if they provide financial information or data that may affect the financial market for users who engage in financial analysis, financial transactions, financial decisions or other financial activities. Specifically, financial information service providers are required to disclose the sources of the financial information or data in a clear and accurate manner, and shall not make, copy, publish or disseminate any content that covers, among others, false financial information that may detriment national financial security or stability of society, fictional event or news regarding the financial market (including that related to securities, funds, futures or foreign currency), or certain financial products or services that are forbidden by the competent regulatory authorities. Violations of any of the requirements in these provisions may subject the financial information service providers to penalties such as public condemnation and rectification orders.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Internet News Dissemination</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State Council Information Office promulgated the </w:t>
      </w:r>
      <w:r>
        <w:rPr>
          <w:rFonts w:ascii="Times New Roman" w:cs="Times New Roman" w:eastAsia="Times New Roman" w:hAnsi="Times New Roman"/>
          <w:sz w:val="18"/>
          <w:szCs w:val="18"/>
          <w:i w:val="1"/>
          <w:iCs w:val="1"/>
          <w:color w:val="auto"/>
        </w:rPr>
        <w:t>Interim Administrative Regulations for Publication News by Internet Websites</w:t>
      </w:r>
      <w:r>
        <w:rPr>
          <w:rFonts w:ascii="Times New Roman" w:cs="Times New Roman" w:eastAsia="Times New Roman" w:hAnsi="Times New Roman"/>
          <w:sz w:val="18"/>
          <w:szCs w:val="18"/>
          <w:color w:val="auto"/>
        </w:rPr>
        <w:t xml:space="preserve"> in 2000 and </w:t>
      </w:r>
      <w:r>
        <w:rPr>
          <w:rFonts w:ascii="Times New Roman" w:cs="Times New Roman" w:eastAsia="Times New Roman" w:hAnsi="Times New Roman"/>
          <w:sz w:val="18"/>
          <w:szCs w:val="18"/>
          <w:i w:val="1"/>
          <w:iCs w:val="1"/>
          <w:color w:val="auto"/>
        </w:rPr>
        <w:t xml:space="preserve">Administrative Regulations for Internet News Information Services </w:t>
      </w:r>
      <w:r>
        <w:rPr>
          <w:rFonts w:ascii="Times New Roman" w:cs="Times New Roman" w:eastAsia="Times New Roman" w:hAnsi="Times New Roman"/>
          <w:sz w:val="18"/>
          <w:szCs w:val="18"/>
          <w:color w:val="auto"/>
        </w:rPr>
        <w:t>in 2017. These regulations stipulate that general websites established by non-news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may publish news released by certain official news agencies if such websites satisfy the requirements set forth in these regulations but may not publish news items produced by themselves or other news sources. These regulations also require the general websites of non-news organizations to obtain permit and approval from the State Council Information Office at both the provincial and national level before they commence providing news dissemination services.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Cyber Security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Internet information in China is heavily regulated and restricted from as a national security issue stand point. The Standing Committee of the National People’s Congress, or the SCNPC, enacted the </w:t>
      </w:r>
      <w:r>
        <w:rPr>
          <w:rFonts w:ascii="Times New Roman" w:cs="Times New Roman" w:eastAsia="Times New Roman" w:hAnsi="Times New Roman"/>
          <w:sz w:val="18"/>
          <w:szCs w:val="18"/>
          <w:i w:val="1"/>
          <w:iCs w:val="1"/>
          <w:color w:val="auto"/>
        </w:rPr>
        <w:t>Decision on Internet Security Protection</w:t>
      </w:r>
      <w:r>
        <w:rPr>
          <w:rFonts w:ascii="Times New Roman" w:cs="Times New Roman" w:eastAsia="Times New Roman" w:hAnsi="Times New Roman"/>
          <w:sz w:val="18"/>
          <w:szCs w:val="18"/>
          <w:color w:val="auto"/>
        </w:rPr>
        <w:t xml:space="preserve"> in December 2000, as further amended in August 2009, which impose criminal liabilities on persons or entities that: (i) gain improper entry into a computer or system of strategic importance; (ii) disseminate politically disruptive information; (iii) leak state secrets; (iv) spread false commercial information; or (v) infringe intellectual property rights. The Ministry of Public Security has promulgated measures that prohibit the use of the Internet in ways that would result in the leakage of state secrets or dissemination of socially destabilizing content. If an Internet information service provider violates these measures, the MPS and the local security bureaus may revoke its operating license and shut down its websites.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2016, the SCNPC promulgated the </w:t>
      </w:r>
      <w:r>
        <w:rPr>
          <w:rFonts w:ascii="Times New Roman" w:cs="Times New Roman" w:eastAsia="Times New Roman" w:hAnsi="Times New Roman"/>
          <w:sz w:val="18"/>
          <w:szCs w:val="18"/>
          <w:i w:val="1"/>
          <w:iCs w:val="1"/>
          <w:color w:val="auto"/>
        </w:rPr>
        <w:t>Cyber Security Law of the PRC</w:t>
      </w:r>
      <w:r>
        <w:rPr>
          <w:rFonts w:ascii="Times New Roman" w:cs="Times New Roman" w:eastAsia="Times New Roman" w:hAnsi="Times New Roman"/>
          <w:sz w:val="18"/>
          <w:szCs w:val="18"/>
          <w:color w:val="auto"/>
        </w:rPr>
        <w:t>, or the Cyber Security Law, which became effective on June 1, 2017, as further amended on October 28, 2025 and came into effect on January 1, 2026. The Cyber Security Law requires that network operators, which include, among others, Internet information services providers, take technical measures and other necessary measures in accordance with applicable laws and regulations and the compulsory requirements of the national and industrial standards to safeguard the safe and stable operation of its networks. We are subject to such requirements as we are providing certain Internet services through our APP and website. The Cyber Security Law further requires Internet information service providers to formulate contingency plans for network security incidents, report to the competent departments immediately upon the occurrence of any incident endangering cyber security and take corresponding remedial measures. In addition, according to the Cyber Security Law, operators of key information infrastructures, which include public communications and information service, energy, transportation, water conservancy, financial industry, public services, e-government affairs and other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important industries and fields, shall store personal information and important data gathered and produced during operations in the PRC within the territory of the PRC. Where such information and data need to be transmitted overseas based on commercial demand, a security assessment shall be conducted in accordance with the measures formulated by the national cyberspace administration authority in concert with the relevant departments under the State Council.</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28, 2021, the CAC and other twelve PRC regulatory authorities jointly revised and promulgated the Measures for Cybersecurity Review, or the Cybersecurity Review Measures, which came into effect on February 15, 2022. Pursuant to the Cybersecurity Review Measures, besides the procurement of network products and services by critical information infrastructure operators, any data processing activities by network platform operators that affects or may affect national security shall be subject to the cybersecurity review as well. In accordance with the Cybersecurity Review Measures, operators mastering personal information of more than one million users must apply to the Cybersecurity Review Office for cybersecurity review when they seek for listing in a foreign country. The CAC may voluntarily conduct cyber security review if any network products and services and activities of data process affects or may affect national security.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need to take certain security assessment measures on the personal data transmitted cross border. With respect to the risk of personal information and important data storage and cross border transmission, please refer to “Item 3. Key Information – Certain Risks Related to Our Chinese Operations and Operating Structure – If we fail to protect customer data and privacy, our reputation, financial condition and results of operations will be materially and adversely affected.”</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CSRC's </w:t>
      </w:r>
      <w:r>
        <w:rPr>
          <w:rFonts w:ascii="Times New Roman" w:cs="Times New Roman" w:eastAsia="Times New Roman" w:hAnsi="Times New Roman"/>
          <w:sz w:val="18"/>
          <w:szCs w:val="18"/>
          <w:i w:val="1"/>
          <w:iCs w:val="1"/>
          <w:color w:val="auto"/>
        </w:rPr>
        <w:t>Administrative Measures for Network and Information Security in the Securities and Futures Industries</w:t>
      </w:r>
      <w:r>
        <w:rPr>
          <w:rFonts w:ascii="Times New Roman" w:cs="Times New Roman" w:eastAsia="Times New Roman" w:hAnsi="Times New Roman"/>
          <w:sz w:val="18"/>
          <w:szCs w:val="18"/>
          <w:color w:val="auto"/>
        </w:rPr>
        <w:t xml:space="preserve">, which went into effect on May 1, 2023, regulate the network and information security of core institutions, operating institutions, and IT system service institutions in the industry. On August 6, 2023, the SAMR and the National Standardization Administration Committee jointly published the </w:t>
      </w:r>
      <w:r>
        <w:rPr>
          <w:rFonts w:ascii="Times New Roman" w:cs="Times New Roman" w:eastAsia="Times New Roman" w:hAnsi="Times New Roman"/>
          <w:sz w:val="18"/>
          <w:szCs w:val="18"/>
          <w:i w:val="1"/>
          <w:iCs w:val="1"/>
          <w:color w:val="auto"/>
        </w:rPr>
        <w:t>Data Security Risk Prevention and Control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and Futures Industry—Guidelines of Data Classification (GB/T 42775-2023)</w:t>
      </w:r>
      <w:r>
        <w:rPr>
          <w:rFonts w:ascii="Times New Roman" w:cs="Times New Roman" w:eastAsia="Times New Roman" w:hAnsi="Times New Roman"/>
          <w:sz w:val="18"/>
          <w:szCs w:val="18"/>
          <w:color w:val="auto"/>
        </w:rPr>
        <w:t>, which took effect on the same date, and describes the methods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classifying the data used or generated in the securities and futures industries. Although such specification is not a mandatory national standard but a recommended guideline, and it is not enforceable by law, the authority may use this standard to evaluate an entity’s compliance with China’s legal guidelines and regulations.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March 17, 2023, the SAMR and the National Standardization Administration Committee announced the issuance of the </w:t>
      </w:r>
      <w:r>
        <w:rPr>
          <w:rFonts w:ascii="Times New Roman" w:cs="Times New Roman" w:eastAsia="Times New Roman" w:hAnsi="Times New Roman"/>
          <w:sz w:val="18"/>
          <w:szCs w:val="18"/>
          <w:i w:val="1"/>
          <w:iCs w:val="1"/>
          <w:color w:val="auto"/>
        </w:rPr>
        <w:t>National Standards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People’s Republic of China (No. 1 of 2023)</w:t>
      </w:r>
      <w:r>
        <w:rPr>
          <w:rFonts w:ascii="Times New Roman" w:cs="Times New Roman" w:eastAsia="Times New Roman" w:hAnsi="Times New Roman"/>
          <w:sz w:val="18"/>
          <w:szCs w:val="18"/>
          <w:color w:val="auto"/>
        </w:rPr>
        <w:t>, which contains 12 sets of national standards on cybersecurity under the National Technical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Standardization Committee of China, or TC260, including the </w:t>
      </w:r>
      <w:r>
        <w:rPr>
          <w:rFonts w:ascii="Times New Roman" w:cs="Times New Roman" w:eastAsia="Times New Roman" w:hAnsi="Times New Roman"/>
          <w:sz w:val="18"/>
          <w:szCs w:val="18"/>
          <w:i w:val="1"/>
          <w:iCs w:val="1"/>
          <w:color w:val="auto"/>
        </w:rPr>
        <w:t>Information Security Technology - Basic Requirements for Competence of Cybersecurity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Workforce (GB/T 42446-2023)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April 26, 2023, the amended </w:t>
      </w:r>
      <w:r>
        <w:rPr>
          <w:rFonts w:ascii="Times New Roman" w:cs="Times New Roman" w:eastAsia="Times New Roman" w:hAnsi="Times New Roman"/>
          <w:sz w:val="18"/>
          <w:szCs w:val="18"/>
          <w:i w:val="1"/>
          <w:iCs w:val="1"/>
          <w:color w:val="auto"/>
        </w:rPr>
        <w:t>Counterespionage Law of the People’s Republic of China</w:t>
      </w:r>
      <w:r>
        <w:rPr>
          <w:rFonts w:ascii="Times New Roman" w:cs="Times New Roman" w:eastAsia="Times New Roman" w:hAnsi="Times New Roman"/>
          <w:sz w:val="18"/>
          <w:szCs w:val="18"/>
          <w:color w:val="auto"/>
        </w:rPr>
        <w:t xml:space="preserve"> was promulgated which came into effect on July 1, 2023, establishing a close connection between data security and national security. It provides, among others, that engaging in the unauthorized provision of data or conducting cyberattacks against specific authorities is categorized as acts falling within the scope of espionage, and unlawfully acquiring or possessing documents, data, materials, or items that qualify as state secrets is strictly forbidden.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May 26, 2023, the Secretariat of the National Information Security Standardization Technical Committee published the </w:t>
      </w:r>
      <w:r>
        <w:rPr>
          <w:rFonts w:ascii="Times New Roman" w:cs="Times New Roman" w:eastAsia="Times New Roman" w:hAnsi="Times New Roman"/>
          <w:sz w:val="18"/>
          <w:szCs w:val="18"/>
          <w:i w:val="1"/>
          <w:iCs w:val="1"/>
          <w:color w:val="auto"/>
        </w:rPr>
        <w:t>Practice Guidelines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Cybersecurity Standards - Implementation Guidelines for Cyber Data Security Risk Assessment</w:t>
      </w:r>
      <w:r>
        <w:rPr>
          <w:rFonts w:ascii="Times New Roman" w:cs="Times New Roman" w:eastAsia="Times New Roman" w:hAnsi="Times New Roman"/>
          <w:sz w:val="18"/>
          <w:szCs w:val="18"/>
          <w:color w:val="auto"/>
        </w:rPr>
        <w:t>, implementing the requirements of the</w:t>
      </w:r>
      <w:r>
        <w:rPr>
          <w:rFonts w:ascii="Times New Roman" w:cs="Times New Roman" w:eastAsia="Times New Roman" w:hAnsi="Times New Roman"/>
          <w:sz w:val="18"/>
          <w:szCs w:val="18"/>
          <w:i w:val="1"/>
          <w:iCs w:val="1"/>
          <w:color w:val="auto"/>
        </w:rPr>
        <w:t xml:space="preserve"> Data Security Law </w:t>
      </w:r>
      <w:r>
        <w:rPr>
          <w:rFonts w:ascii="Times New Roman" w:cs="Times New Roman" w:eastAsia="Times New Roman" w:hAnsi="Times New Roman"/>
          <w:sz w:val="18"/>
          <w:szCs w:val="18"/>
          <w:color w:val="auto"/>
        </w:rPr>
        <w:t>on data security risk assessment, which outlines the approach, workflow and key components of the data security risk assessment, including data security management, data processing activities, data security technology, and personal information protection.</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September 11, 2025, the CAC promulgated the </w:t>
      </w:r>
      <w:r>
        <w:rPr>
          <w:rFonts w:ascii="Times New Roman" w:cs="Times New Roman" w:eastAsia="Times New Roman" w:hAnsi="Times New Roman"/>
          <w:sz w:val="18"/>
          <w:szCs w:val="18"/>
          <w:i w:val="1"/>
          <w:iCs w:val="1"/>
          <w:color w:val="auto"/>
        </w:rPr>
        <w:t>Administrative Measures for the Reporting of Cybersecurity Incidents</w:t>
      </w:r>
      <w:r>
        <w:rPr>
          <w:rFonts w:ascii="Times New Roman" w:cs="Times New Roman" w:eastAsia="Times New Roman" w:hAnsi="Times New Roman"/>
          <w:sz w:val="18"/>
          <w:szCs w:val="18"/>
          <w:color w:val="auto"/>
        </w:rPr>
        <w:t>, which came into effect on November 1, 2025, established a report system for network operators who construct or operate networks or provide services through networks, within the territory of the PRC when a cybersecurity incident occurs.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Regulations on Network Data Security was promulgated by the State Council on September 24, 2024 and became effective on January 1, 2025, according to which, a network data handler may transmit personal information abroad if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meets any of the following conditions: (1) having passed the security assessment for data cross-border transmission organized by the state cyberspace administration; (2) having been certified by a specialized agency in respect of the protection of personal information in accordance with the provisions of the state cyberspace administration; (3) meeting the provisions on standard contract for cross-border transmission of personal information as developed by the state cyberspace administration; (4) necessary to provide personal information abroad in order to conclude or perform a contract to which it is a party;</w:t>
      </w:r>
    </w:p>
    <w:p>
      <w:pPr>
        <w:spacing w:after="0" w:line="3" w:lineRule="exact"/>
        <w:rPr>
          <w:sz w:val="20"/>
          <w:szCs w:val="20"/>
          <w:color w:val="auto"/>
        </w:rPr>
      </w:pPr>
    </w:p>
    <w:p>
      <w:pPr>
        <w:jc w:val="both"/>
        <w:ind w:firstLine="8"/>
        <w:spacing w:after="0" w:line="253"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to provide personal information of employees abroad under the employment rules and regulations formulated in accordance with the law and collective contracts concluded in accordance with the law; (6) necessary to provide personal information abroad in order to perform statutory duties or obligations; (7) necessary to provide personal information abroad in order to protect the life, health and property security of natural persons in an emergency; and (8) other conditions provided for in laws, administrative regulations or by the state cyberspace administration. In addition, network data processors engaging in network data processing activities that affect or may affect national security shall undergo national security review.</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Privacy Protection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Internet information service providers are also required to maintain the integrity, confidentiality and availability of network data. The Cyber Security Law reaffirms the basic principles and requirements specified in other existing laws and regulations on personal data protection, such as the requirements on the collection, use, processing, storage and disclosure of personal data, and Internet information service providers being required to take technical and other necessary measures to ensure the security of the personal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xml:space="preserve"> they have collected and prevent the personal information from being divulged, damaged or lost. Any violation of the Cyber Security Law may subject the Internet information service provider to warnings, fines, confiscation of illegal gains, revocation of licenses, cancellation of filings, shutdown of websites or criminal liabilities.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i w:val="1"/>
          <w:iCs w:val="1"/>
          <w:color w:val="auto"/>
        </w:rPr>
        <w:t>Several Provisions on Regulating the Market Order of Internet Information Services</w:t>
      </w:r>
      <w:r>
        <w:rPr>
          <w:rFonts w:ascii="Times New Roman" w:cs="Times New Roman" w:eastAsia="Times New Roman" w:hAnsi="Times New Roman"/>
          <w:sz w:val="18"/>
          <w:szCs w:val="18"/>
          <w:color w:val="auto"/>
        </w:rPr>
        <w:t xml:space="preserve"> issued by the MIIT in December 2011 and the Cyber Security Law, an Internet information service provider may not collect any user’s personal information or provide any such information to third parties without that user’s consent, and it must also expressly inform that user of the method, content and purpose of the collection and processing of such user’s personal information and may only collect such information as necessary for the provision of its services. In addition, pursuant to the </w:t>
      </w:r>
      <w:r>
        <w:rPr>
          <w:rFonts w:ascii="Times New Roman" w:cs="Times New Roman" w:eastAsia="Times New Roman" w:hAnsi="Times New Roman"/>
          <w:sz w:val="18"/>
          <w:szCs w:val="18"/>
          <w:i w:val="1"/>
          <w:iCs w:val="1"/>
          <w:color w:val="auto"/>
        </w:rPr>
        <w:t>Decision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Strengthening Internet Information Protection </w:t>
      </w:r>
      <w:r>
        <w:rPr>
          <w:rFonts w:ascii="Times New Roman" w:cs="Times New Roman" w:eastAsia="Times New Roman" w:hAnsi="Times New Roman"/>
          <w:sz w:val="18"/>
          <w:szCs w:val="18"/>
          <w:color w:val="auto"/>
        </w:rPr>
        <w:t>issued by the SCNPC in December 2012, the</w:t>
      </w:r>
      <w:r>
        <w:rPr>
          <w:rFonts w:ascii="Times New Roman" w:cs="Times New Roman" w:eastAsia="Times New Roman" w:hAnsi="Times New Roman"/>
          <w:sz w:val="18"/>
          <w:szCs w:val="18"/>
          <w:i w:val="1"/>
          <w:iCs w:val="1"/>
          <w:color w:val="auto"/>
        </w:rPr>
        <w:t xml:space="preserve"> Order for the Protection of Telecommunication and Internet User’s Personal Information </w:t>
      </w:r>
      <w:r>
        <w:rPr>
          <w:rFonts w:ascii="Times New Roman" w:cs="Times New Roman" w:eastAsia="Times New Roman" w:hAnsi="Times New Roman"/>
          <w:sz w:val="18"/>
          <w:szCs w:val="18"/>
          <w:color w:val="auto"/>
        </w:rPr>
        <w:t>issued by the MIIT in July 2013 and the Cyber Security Law, any collection and use of a user’s personal information must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consent of the user, abide by the principles of legality, rationality and necessity and be within the specified purposes, methods and scopes. An Internet information service provider must also keep such information strictly confidential, and is further prohibited from divulging, tampering or destroying of any such information, or selling or providing such information to other parties. An Internet information service provider is required to take technical and other measures to prevent the collected personal information from any unauthorized disclosure, damage or loss. Any violation of these laws and regulations may subject the Internet information service provider to warnings, fines, confiscation of illegal gains, revocation of licenses, cancellation of filings, closedown of websites or even criminal liabilities.</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Ninth Amendment to the Criminal Law</w:t>
      </w:r>
      <w:r>
        <w:rPr>
          <w:rFonts w:ascii="Times New Roman" w:cs="Times New Roman" w:eastAsia="Times New Roman" w:hAnsi="Times New Roman"/>
          <w:sz w:val="18"/>
          <w:szCs w:val="18"/>
          <w:color w:val="auto"/>
        </w:rPr>
        <w:t xml:space="preserve"> issued by the SCNPC in August 2015 and becoming effective in November, 2015, any Internet service provider that fails to fulfill the obligations related to Internet information security administration as required by applicable laws and refuses to rectify upon orders, shall be subject to criminal penalty for the result of (i) any dissemination of illegal information in large scale; (ii) any severe effect due to the leakage of the customer’s information; (iii) any serious loss of criminal evidence; or (iv) other severe situation, and any individual or entity that (i) sells or provides personal information to others in a way violating the applicable law, or (ii) steals or illegally obtain any personal information, shall be subject to criminal penalty in severe situation.</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addition, the </w:t>
      </w:r>
      <w:r>
        <w:rPr>
          <w:rFonts w:ascii="Times New Roman" w:cs="Times New Roman" w:eastAsia="Times New Roman" w:hAnsi="Times New Roman"/>
          <w:sz w:val="18"/>
          <w:szCs w:val="18"/>
          <w:i w:val="1"/>
          <w:iCs w:val="1"/>
          <w:color w:val="auto"/>
        </w:rPr>
        <w:t>Interpretations of the Supreme People’s Court and the Supreme People’s Procuratorate of the PRC on Several Issues Concerning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Application of Law in Handling Criminal Cases of Infringing Personal Information</w:t>
      </w:r>
      <w:r>
        <w:rPr>
          <w:rFonts w:ascii="Times New Roman" w:cs="Times New Roman" w:eastAsia="Times New Roman" w:hAnsi="Times New Roman"/>
          <w:sz w:val="18"/>
          <w:szCs w:val="18"/>
          <w:color w:val="auto"/>
        </w:rPr>
        <w:t>, issued in May 2017 and effective June 2017, clarified certain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conviction and sentencing of the criminals in relation to personal information infringement. Further, the NPC promulgated a new National Security Law, effective July 2015, to replace the former National Security Law and covers various types of national security including technology security and information security.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2019, the Secretariat of the Cyberspace Administration of China, the General Office of the MIIT, the General Office of the Ministry of Public Security and the SAMR jointly promulgated the </w:t>
      </w:r>
      <w:r>
        <w:rPr>
          <w:rFonts w:ascii="Times New Roman" w:cs="Times New Roman" w:eastAsia="Times New Roman" w:hAnsi="Times New Roman"/>
          <w:sz w:val="18"/>
          <w:szCs w:val="18"/>
          <w:i w:val="1"/>
          <w:iCs w:val="1"/>
          <w:color w:val="auto"/>
        </w:rPr>
        <w:t>Circular on Issuing the Methods for Identifying Unlawful Collection and Use of Personal Information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Applications</w:t>
      </w:r>
      <w:r>
        <w:rPr>
          <w:rFonts w:ascii="Times New Roman" w:cs="Times New Roman" w:eastAsia="Times New Roman" w:hAnsi="Times New Roman"/>
          <w:sz w:val="18"/>
          <w:szCs w:val="18"/>
          <w:color w:val="auto"/>
        </w:rPr>
        <w:t>, which defines actions that may be regarded as violating the Network Security Law and other personal information protection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regulations, including, among other things, failure to publicize the rules for collection and use of personal information, failure to expressly state the purpose, manner and scope of collecting and using personal information, collection and use of personal information without consent of users, provision of personal information to others without consent, and failure to provide the function of deleting or correcting personal information as required by law. On March 12, 2021, the aforesaid four departments jointly promulgated the </w:t>
      </w:r>
      <w:r>
        <w:rPr>
          <w:rFonts w:ascii="Times New Roman" w:cs="Times New Roman" w:eastAsia="Times New Roman" w:hAnsi="Times New Roman"/>
          <w:sz w:val="18"/>
          <w:szCs w:val="18"/>
          <w:i w:val="1"/>
          <w:iCs w:val="1"/>
          <w:color w:val="auto"/>
        </w:rPr>
        <w:t>Circular on Issuing the Provision on the Range of Personal Information Necessary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Common Types of Mobile Internet Application</w:t>
      </w:r>
      <w:r>
        <w:rPr>
          <w:rFonts w:ascii="Times New Roman" w:cs="Times New Roman" w:eastAsia="Times New Roman" w:hAnsi="Times New Roman"/>
          <w:sz w:val="18"/>
          <w:szCs w:val="18"/>
          <w:color w:val="auto"/>
        </w:rPr>
        <w:t>, which came into effect on May 1, 2021. This circular defines specific information that 39 types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mobile internet application (“APP(s)”), including mobile applications and programs on mobile applications, such as WeChat Mini Program, may collect for the basic functions of such APPs.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March 6, 2020, the SAMR and Standardization Administration of China, or SAC, jointly published the </w:t>
      </w:r>
      <w:r>
        <w:rPr>
          <w:rFonts w:ascii="Times New Roman" w:cs="Times New Roman" w:eastAsia="Times New Roman" w:hAnsi="Times New Roman"/>
          <w:sz w:val="18"/>
          <w:szCs w:val="18"/>
          <w:i w:val="1"/>
          <w:iCs w:val="1"/>
          <w:color w:val="auto"/>
        </w:rPr>
        <w:t>Information Security Technology - 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Security Specification (GB/T 35273-2020), </w:t>
      </w:r>
      <w:r>
        <w:rPr>
          <w:rFonts w:ascii="Times New Roman" w:cs="Times New Roman" w:eastAsia="Times New Roman" w:hAnsi="Times New Roman"/>
          <w:sz w:val="18"/>
          <w:szCs w:val="18"/>
          <w:color w:val="auto"/>
        </w:rPr>
        <w:t>or the 2020 Specification, proposed by the National Information Security Standardization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Technical Committee as an amendment to and replacement for the version published in November 2017 (GB/T 35273-2017). The 2020 Specification, which took effect on October 1, 2020, explains and reinforces the Cyber Security Law. Though the 2020 Specification is not a mandatory national standard but a recommended guideline, and it is not enforceable by law, the authority may use this standard to evaluate an entity’s compliance with China’s legal guidelines and regulations. The 2020 Specification outlines that “controllers” are those who collect personal information for providing a product or service. The “subject” is the individual or entity that provides the personal information to the controller. The 2020 Specification seeks to provide the subject with more autonomy in how and when they provide personal information to controllers. Although the 2020 Specification clarifies issues such as biometric data, multiple business functions, and explicit consent, it is still unclear to what extent the new standard will be enforced in China.</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Furthermore, on August 20, 2021, the SCNPC promulgated the </w:t>
      </w:r>
      <w:r>
        <w:rPr>
          <w:rFonts w:ascii="Times New Roman" w:cs="Times New Roman" w:eastAsia="Times New Roman" w:hAnsi="Times New Roman"/>
          <w:sz w:val="18"/>
          <w:szCs w:val="18"/>
          <w:i w:val="1"/>
          <w:iCs w:val="1"/>
          <w:color w:val="auto"/>
        </w:rPr>
        <w:t>Personal Information Protection Law,</w:t>
      </w:r>
      <w:r>
        <w:rPr>
          <w:rFonts w:ascii="Times New Roman" w:cs="Times New Roman" w:eastAsia="Times New Roman" w:hAnsi="Times New Roman"/>
          <w:sz w:val="18"/>
          <w:szCs w:val="18"/>
          <w:color w:val="auto"/>
        </w:rPr>
        <w:t xml:space="preserve"> or the Information Protection Law, which became effective on November 1, 2021. The Information Protection Law stipulates that the Cyberspace Administration of China is responsible for coordinating the protection of personal information and the related supervision and administration. The Information Protection Law also expressly stipulates that those who process personal information in violation of regulations or fail to take necessary security measures when processing personal information will be ordered to make corrections by the authority responsible for personal information protection, and given a warning, with their illegal gains confiscated. If the violator refuses to make corrections, it shall be subject to a fine of not more than RMB1.0 million. The person in charge directly responsible and other persons directly responsible shall be imposed a fine of not less than RMB10,000 but not more than RMB100,000. In case of any severe illegal acts as stipulated in the Information Protection Law, the violator shall be ordered to make corrections by the authority responsible for personal information protection, have its illegal gains confiscated and be subject to a fine of not more than RMB50.0 million or no more than 5% of the turnover in the previous year, as well as a suspension of the relevant business, suspension for rectification, revocation of relevant business permit or business license by the relevant competent authorities. The person in charge directly responsible and other persons directly responsible shall be imposed a fine of not less than RMB100.0 thousand but not more than RMB1.0 million.</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Data Security Law of the People’s Republic of China</w:t>
      </w:r>
      <w:r>
        <w:rPr>
          <w:rFonts w:ascii="Times New Roman" w:cs="Times New Roman" w:eastAsia="Times New Roman" w:hAnsi="Times New Roman"/>
          <w:sz w:val="18"/>
          <w:szCs w:val="18"/>
          <w:color w:val="auto"/>
        </w:rPr>
        <w:t>, or the Data Security Law, was passed by the SCNPC on June 10, 2021 and came into effect on September 1, 2021. The Data Security Law requires the data processor to establish and improve a whole-process data security management system, organize data security education and training, and take corresponding technical measures and other necessary measures to safeguard data security. In conducting data processing activities by using the Internet or any other information network, the data processor shall perform the above data security protection obligations on the basis of the hierarchical cybersecurity protection system. Any violation of the provisions and requirements under the Data Security Law may subject a data processor to rectifications, warnings, fines, suspension of the related business, revocation of licenses or even criminal liabilities.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7, 2022, the CAC promulgated the Measures on Security Assessment of Cross-border Data Transfer, or the Data Export Measures, which became effective on September 1, 2022. The Data Export Measures require that any data processor which processes or exports personal information exceeding certain volume threshold under such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measures shall apply for security assessment by the CAC before transferring any personal information abroad. The security assessment requirement also applies to any transfer of important data outside of China. In December 2022, the MIIT released the Administrative Measures for Data Security in the Field of Industry and Information Technology (for Trial Implementation), which came into effect on January 1, 2023. The Administrative Measures for Data Security in the Field of Industry and Information Technology (for Trial Implementation) requires the data processor in the field of industry and information technology to review data on a periodical basis, identify important data and core data in accordance with the relevant standards and specifications, and form its specific catalogue. The CAC has also issued the First Edition and the Second Edition of </w:t>
      </w:r>
      <w:r>
        <w:rPr>
          <w:rFonts w:ascii="Times New Roman" w:cs="Times New Roman" w:eastAsia="Times New Roman" w:hAnsi="Times New Roman"/>
          <w:sz w:val="18"/>
          <w:szCs w:val="18"/>
          <w:i w:val="1"/>
          <w:iCs w:val="1"/>
          <w:color w:val="auto"/>
        </w:rPr>
        <w:t>Guidelines for Application for Security Assessment of Outbound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Data Transfer </w:t>
      </w:r>
      <w:r>
        <w:rPr>
          <w:rFonts w:ascii="Times New Roman" w:cs="Times New Roman" w:eastAsia="Times New Roman" w:hAnsi="Times New Roman"/>
          <w:sz w:val="18"/>
          <w:szCs w:val="18"/>
          <w:color w:val="auto"/>
        </w:rPr>
        <w:t>successively on August 31, 2022 and March 22, 2024, respectively, illustrating the specific requirements for declaration of the cross-border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data security assessment, such as methods, processes and materials, and optimizes and simplifies the relevant materials that data processors need to submit. In June 2025, the CAC issued the Third Edition of </w:t>
      </w:r>
      <w:r>
        <w:rPr>
          <w:rFonts w:ascii="Times New Roman" w:cs="Times New Roman" w:eastAsia="Times New Roman" w:hAnsi="Times New Roman"/>
          <w:sz w:val="18"/>
          <w:szCs w:val="18"/>
          <w:i w:val="1"/>
          <w:iCs w:val="1"/>
          <w:color w:val="auto"/>
        </w:rPr>
        <w:t>Guidelines for Application for Security Assessment of Outbound Data Transfer</w:t>
      </w:r>
      <w:r>
        <w:rPr>
          <w:rFonts w:ascii="Times New Roman" w:cs="Times New Roman" w:eastAsia="Times New Roman" w:hAnsi="Times New Roman"/>
          <w:sz w:val="18"/>
          <w:szCs w:val="18"/>
          <w:color w:val="auto"/>
        </w:rPr>
        <w:t>, which optimizes and simplifies the relevant materials required to be submitted by data processors for the application for security assessment of outbound data transfer and specifies the conditions, procedures, and materials required for data processors to apply for an extension of the validity period of the security assessment results.</w:t>
      </w:r>
    </w:p>
    <w:p>
      <w:pPr>
        <w:spacing w:after="0" w:line="200" w:lineRule="exact"/>
        <w:rPr>
          <w:sz w:val="20"/>
          <w:szCs w:val="20"/>
          <w:color w:val="auto"/>
        </w:rPr>
      </w:pP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February 22, 2023, the CAC issued the Measures for the Standard Contract for the Outbound Transfer of Personal Information, or the Standard Contract Measures, which took effect on June 1, 2023. The Standard Contract Measures apply to the provision of personal information to overseas recipients through standard contract and set out detailed criteria relating to the formality and terms of such contracts. The Standard Contract Measures also require the personal information processor to file such contract with relevant authorities within 10 business days after the contract is effective. To regulate the application of the outboard transfer of personal information through standard contact, the CAC has promulgated the First Edition and the Second Edition of </w:t>
      </w:r>
      <w:r>
        <w:rPr>
          <w:rFonts w:ascii="Times New Roman" w:cs="Times New Roman" w:eastAsia="Times New Roman" w:hAnsi="Times New Roman"/>
          <w:sz w:val="18"/>
          <w:szCs w:val="18"/>
          <w:i w:val="1"/>
          <w:iCs w:val="1"/>
          <w:color w:val="auto"/>
        </w:rPr>
        <w:t>Guidelines for the Recordation of the Standard Contracts for the Outbound Transfer of Personal Information</w:t>
      </w:r>
      <w:r>
        <w:rPr>
          <w:rFonts w:ascii="Times New Roman" w:cs="Times New Roman" w:eastAsia="Times New Roman" w:hAnsi="Times New Roman"/>
          <w:sz w:val="18"/>
          <w:szCs w:val="18"/>
          <w:color w:val="auto"/>
        </w:rPr>
        <w:t xml:space="preserve"> on May 30, 2023 and March 22, 2024.</w:t>
      </w: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March 16, 2023, the TC260 released the draft national standards entitled </w:t>
      </w:r>
      <w:r>
        <w:rPr>
          <w:rFonts w:ascii="Times New Roman" w:cs="Times New Roman" w:eastAsia="Times New Roman" w:hAnsi="Times New Roman"/>
          <w:sz w:val="18"/>
          <w:szCs w:val="18"/>
          <w:i w:val="1"/>
          <w:iCs w:val="1"/>
          <w:color w:val="auto"/>
        </w:rPr>
        <w:t>Information Security Technology - Certification Requirements for Cross-border Transmission of Personal Information</w:t>
      </w:r>
      <w:r>
        <w:rPr>
          <w:rFonts w:ascii="Times New Roman" w:cs="Times New Roman" w:eastAsia="Times New Roman" w:hAnsi="Times New Roman"/>
          <w:sz w:val="18"/>
          <w:szCs w:val="18"/>
          <w:color w:val="auto"/>
        </w:rPr>
        <w:t>, for public comments, which sets out the basic principles and requirements for the protection of the rights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personal information subjects in the cross-border transmission of personal information, and outlines the standards for the third-party certification of companies engaged in the cross-border transfer.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March 13, 2025, the CAC and Ministry of Public Security jointly promulgated </w:t>
      </w:r>
      <w:r>
        <w:rPr>
          <w:rFonts w:ascii="Times New Roman" w:cs="Times New Roman" w:eastAsia="Times New Roman" w:hAnsi="Times New Roman"/>
          <w:sz w:val="18"/>
          <w:szCs w:val="18"/>
          <w:i w:val="1"/>
          <w:iCs w:val="1"/>
          <w:color w:val="auto"/>
        </w:rPr>
        <w:t>the Measures for the Security Management of the Application of Facial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Recognition Technology</w:t>
      </w:r>
      <w:r>
        <w:rPr>
          <w:rFonts w:ascii="Times New Roman" w:cs="Times New Roman" w:eastAsia="Times New Roman" w:hAnsi="Times New Roman"/>
          <w:sz w:val="18"/>
          <w:szCs w:val="18"/>
          <w:color w:val="auto"/>
        </w:rPr>
        <w:t>, which came into effect on June 1, 2025, applies to the activities of applying facial recognition technology to process facial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within the territory of the PRC. According to </w:t>
      </w:r>
      <w:r>
        <w:rPr>
          <w:rFonts w:ascii="Times New Roman" w:cs="Times New Roman" w:eastAsia="Times New Roman" w:hAnsi="Times New Roman"/>
          <w:sz w:val="18"/>
          <w:szCs w:val="18"/>
          <w:i w:val="1"/>
          <w:iCs w:val="1"/>
          <w:color w:val="auto"/>
        </w:rPr>
        <w:t>the Measures for the Security Management of the Application of Facial Recognition Technology</w:t>
      </w:r>
      <w:r>
        <w:rPr>
          <w:rFonts w:ascii="Times New Roman" w:cs="Times New Roman" w:eastAsia="Times New Roman" w:hAnsi="Times New Roman"/>
          <w:sz w:val="18"/>
          <w:szCs w:val="18"/>
          <w:color w:val="auto"/>
        </w:rPr>
        <w:t>, facial recognition technology can only be used when there is a specific purpose and sufficient necessity, take the way that has the least impact on the rights and interests of individuals, and strict protection measures must be implemented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March 22, 2024, the CAC issued the </w:t>
      </w:r>
      <w:r>
        <w:rPr>
          <w:rFonts w:ascii="Times New Roman" w:cs="Times New Roman" w:eastAsia="Times New Roman" w:hAnsi="Times New Roman"/>
          <w:sz w:val="18"/>
          <w:szCs w:val="18"/>
          <w:i w:val="1"/>
          <w:iCs w:val="1"/>
          <w:color w:val="auto"/>
        </w:rPr>
        <w:t>Regulations on Promoting and Regulating the Cross-border Data Flow</w:t>
      </w:r>
      <w:r>
        <w:rPr>
          <w:rFonts w:ascii="Times New Roman" w:cs="Times New Roman" w:eastAsia="Times New Roman" w:hAnsi="Times New Roman"/>
          <w:sz w:val="18"/>
          <w:szCs w:val="18"/>
          <w:color w:val="auto"/>
        </w:rPr>
        <w:t>, which stipulates the obligations of data processors with cross-border transfer of personal information, such as notification, obtaining individual consent, and conducting personal information protection impact assessments in accordance with laws and administrative regulations, and also sets out several exemptions, including cross-border data transfer (i) for concluding or performing a contract to which an individual is a party, (ii) for the cross-border HR management purpose according to the applicable internal labor rules and a collective contract entered into with the employees , (iii) to safeguard an individual’s life, health or property in the event of an emergency, and (iv) if the handler is not classified as a critical information infrastructure operator, involving less than 100,000 people’s non-sensitive personal information from January 1 of the current year.</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24, 2024, the Administrative Regulation of Network Data Security was released by the State Council and became effective on January 1, 2025, stipulates, among others, that a prior cybersecurity review is required for listing abroad of data processors which process over one million users’ personal information, and the listing of data processors in Hong Kong which affects or may affect national security.</w:t>
      </w:r>
    </w:p>
    <w:p>
      <w:pPr>
        <w:spacing w:after="0" w:line="1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On September 24, 2024, the State Council published </w:t>
      </w:r>
      <w:r>
        <w:rPr>
          <w:rFonts w:ascii="Times New Roman" w:cs="Times New Roman" w:eastAsia="Times New Roman" w:hAnsi="Times New Roman"/>
          <w:sz w:val="18"/>
          <w:szCs w:val="18"/>
          <w:i w:val="1"/>
          <w:iCs w:val="1"/>
          <w:color w:val="auto"/>
        </w:rPr>
        <w:t>the Regulations on Network Data Security Management</w:t>
      </w:r>
      <w:r>
        <w:rPr>
          <w:rFonts w:ascii="Times New Roman" w:cs="Times New Roman" w:eastAsia="Times New Roman" w:hAnsi="Times New Roman"/>
          <w:sz w:val="18"/>
          <w:szCs w:val="18"/>
          <w:color w:val="auto"/>
        </w:rPr>
        <w:t xml:space="preserve"> which came into force on January 1, 2025. This Regulation provides that the network data handlers shall be subject to national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security review if their network data handling activities affect or may affect national security, and it provides no further explanation or interpretation as to how to determine what constitutes “affecting national security”. In addition, the Regulations on Network Data Security Management requires network data handlers handling personal information involving over 10 million individuals to comply with certain regulations on important data handlers, including, among others, specifying the person in charge of network data security and the management organization for network data security, and conducting security background review of the person in charge of network data security and personnel in key positions and strengthen the training for the relevant personnel when controlling important data of specific type and scale specified by the relevant competent authority.</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February 12, 2025, the </w:t>
      </w:r>
      <w:r>
        <w:rPr>
          <w:rFonts w:ascii="Times New Roman" w:cs="Times New Roman" w:eastAsia="Times New Roman" w:hAnsi="Times New Roman"/>
          <w:sz w:val="18"/>
          <w:szCs w:val="18"/>
          <w:i w:val="1"/>
          <w:iCs w:val="1"/>
          <w:color w:val="auto"/>
        </w:rPr>
        <w:t>Measures for the Administration of Personal Information Protection Compliance Audits</w:t>
      </w:r>
      <w:r>
        <w:rPr>
          <w:rFonts w:ascii="Times New Roman" w:cs="Times New Roman" w:eastAsia="Times New Roman" w:hAnsi="Times New Roman"/>
          <w:sz w:val="18"/>
          <w:szCs w:val="18"/>
          <w:color w:val="auto"/>
        </w:rPr>
        <w:t xml:space="preserve"> was issued by the CAC and will become effective on May 1, 2025, which stipulates that companies that process personal information of subjects in China shall undergo regular compliance audits.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July 18, 2025, the CAC promulgated </w:t>
      </w:r>
      <w:r>
        <w:rPr>
          <w:rFonts w:ascii="Times New Roman" w:cs="Times New Roman" w:eastAsia="Times New Roman" w:hAnsi="Times New Roman"/>
          <w:sz w:val="18"/>
          <w:szCs w:val="18"/>
          <w:i w:val="1"/>
          <w:iCs w:val="1"/>
          <w:color w:val="auto"/>
        </w:rPr>
        <w:t>Announcement of the Submission of Information on Persons in Charge of Personal Information Protection</w:t>
      </w:r>
      <w:r>
        <w:rPr>
          <w:rFonts w:ascii="Times New Roman" w:cs="Times New Roman" w:eastAsia="Times New Roman" w:hAnsi="Times New Roman"/>
          <w:sz w:val="18"/>
          <w:szCs w:val="18"/>
          <w:color w:val="auto"/>
        </w:rPr>
        <w:t>, established a system of persons in charge of personal information protection and required such person to report certain information with the local cyberspace administration at the districted city level within specific timeframe.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Overseas Offerings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July 6, 2021, the relevant PRC government authorities issued </w:t>
      </w:r>
      <w:r>
        <w:rPr>
          <w:rFonts w:ascii="Times New Roman" w:cs="Times New Roman" w:eastAsia="Times New Roman" w:hAnsi="Times New Roman"/>
          <w:sz w:val="18"/>
          <w:szCs w:val="18"/>
          <w:i w:val="1"/>
          <w:iCs w:val="1"/>
          <w:color w:val="auto"/>
        </w:rPr>
        <w:t>Opinions on Strictly Cracking Down Illegal Securities Activities in Accordance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These opinions emphasized the need to strengthen the administration over illegal securities activities and the supervision on overseas listings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China-based companies and proposed to take effective measures, such as promoting the construction of relevant regulatory systems to deal with the risks and incidents faced by China-based overseas-listed companies.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February 17, 2023, the CSRC promulgated the </w:t>
      </w:r>
      <w:r>
        <w:rPr>
          <w:rFonts w:ascii="Times New Roman" w:cs="Times New Roman" w:eastAsia="Times New Roman" w:hAnsi="Times New Roman"/>
          <w:sz w:val="18"/>
          <w:szCs w:val="18"/>
          <w:i w:val="1"/>
          <w:iCs w:val="1"/>
          <w:color w:val="auto"/>
        </w:rPr>
        <w:t>Trial Administrative Measures of the Overseas Securities Offering and Listing by Domestic Companies</w:t>
      </w:r>
      <w:r>
        <w:rPr>
          <w:rFonts w:ascii="Times New Roman" w:cs="Times New Roman" w:eastAsia="Times New Roman" w:hAnsi="Times New Roman"/>
          <w:sz w:val="18"/>
          <w:szCs w:val="18"/>
          <w:color w:val="auto"/>
        </w:rPr>
        <w:t>, or the Overseas Listing Trial Measures and relevant five guidelines, which became effective on March 31, 2023. The Overseas Listing Trial Measures comprehensively improve and reform the existing regulatory regime for overseas offering and listing of Chinese mainland domestic companies’ securities and regulates both direct and indirect overseas offering and listing of Chinese mainland domestic companies’ securities by adopting a filing-based regulatory regime. It provides, among others, that an overseas securities company that serves as a sponsor or lead underwriter for overseas securities offering and listing by domestic companies shall file with the CSRC within ten (10) working days after signing its first engagement agreement for such business, and submit to the CSRC, no later than January 31 each year, an annual report on its business activities in the previous year associated with overseas securities offering and listing by domestic companies.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the same day, the CSRC also held a press conference for the release of the Overseas Listing Trial Measures and issued the Notice on Administration for the Filing of Overseas Offering and Listing by Domestic Companies, which, among others, clarifies that (i) prior to the effective date of the Overseas Listing Trial Measures, Chinese mainland domestic companies that have already completed overseas listing shall be regarded as “existing companies”, which are not required to fulfill filing procedure immediately but shall be required to complete the filing if such existing companies conduct refinancing in the future; and (ii) the CSRC will solicit opinions from relevant regulatory authorities and complete the filing of the overseas listing of companies with contractual arrangements which duly meet the compliance requirements, and support the development and growth of these companies by enabling them to utilize two markets and two kinds of resources.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24, 2023, the CSRC released the Provisions on Strengthening the Confidentiality and Archives Administration Related to the Overseas Securities Offering and Listing by Domestic Enterprises, or the Confidentiality and Archives Administration Provisions, which took effect on March 31, 2023. The Confidentiality and Archives Administration Provisions require, among others, that PRC domestic enterprises that seek to offer and list securities in overseas markets, either directly or indirectly, complete approval and filing procedures to competent authorities, if such PRC domestic enterprises or its overseas listing entities provide or publicly disclose documents or materials involving state secrets and work secrets of PRC government agencies to relevant securities companies, securities service institutions, overseas regulatory agencies and other entities and individuals. It further stipulates that providing or publicly disclosing documents and materials which may adversely affect national security or public interests,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accounting files or copies shall be subject to corresponding procedures in accordance with relevant laws and regulations. Under the Confidentiality and Archives Administration Provisions, we may be required to complete relevant approval or filing procedures, or expend additional resources to comply with the Confidentiality and Archives Administration Provisions if we are recognized to fall within any of the foregoing circumstances. In addition, if the CSRC or other regulatory authorities later promulgate new rules or explanations requiring that we obtain their approvals or accomplish the required filing or other regulatory procedures for future capital-raising activities, we may be unable to obtain a waiver of such approval requirements, if and when procedures are established to obtain such a waiver.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Anti-Monopoly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Anti-Monopoly Law of the People’s Republic of China,</w:t>
      </w:r>
      <w:r>
        <w:rPr>
          <w:rFonts w:ascii="Times New Roman" w:cs="Times New Roman" w:eastAsia="Times New Roman" w:hAnsi="Times New Roman"/>
          <w:sz w:val="18"/>
          <w:szCs w:val="18"/>
          <w:color w:val="auto"/>
        </w:rPr>
        <w:t xml:space="preserve"> or the Anti-Monopoly Law, which was promulgated by the SCNPC on August 30, 2007, amended on June 24, 2022, and the 2022 revision became effective on August 1, 2022, the Anti-Monopoly Law applies to the monopolistic practices in domestic economic activities in China as well as the monopolistic practices outside China which have exclusion or restriction effects on domestic market competition. The monopolistic practices under the Anti-Monopoly Law include any monopoly agreement reached by any operators, abuse of market-dominating position by any operators and any concentration of operators which has an effect of eliminating or restricting competition. The agencies designated by the State Council are responsible for enforcement of the Anti-Monopoly Law. The anti-monopoly enforcement agencies of the State Council may, according to work requirements, delegate relevant anti-monopoly enforcement tasks to the corresponding agencies of the people’s governments of provinces, autonomous regions and centrally-administered municipalities pursuant to the provisions of Anti-Monopoly Law. Operators who violate the provisions of the Anti-Monopoly Law will be ordered by the enforcement agencies to stop the illegal act, be imposed a fine or be subject to other restrictive measures.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order to prevent and curb the monopolistic conducts in the field of platform economy, the Anti-monopoly Commission of the State Council issued the </w:t>
      </w:r>
      <w:r>
        <w:rPr>
          <w:rFonts w:ascii="Times New Roman" w:cs="Times New Roman" w:eastAsia="Times New Roman" w:hAnsi="Times New Roman"/>
          <w:sz w:val="18"/>
          <w:szCs w:val="18"/>
          <w:i w:val="1"/>
          <w:iCs w:val="1"/>
          <w:color w:val="auto"/>
        </w:rPr>
        <w:t xml:space="preserve">Guidelines to Anti-Monopoly in the Field of Internet Platforms </w:t>
      </w:r>
      <w:r>
        <w:rPr>
          <w:rFonts w:ascii="Times New Roman" w:cs="Times New Roman" w:eastAsia="Times New Roman" w:hAnsi="Times New Roman"/>
          <w:sz w:val="18"/>
          <w:szCs w:val="18"/>
          <w:color w:val="auto"/>
        </w:rPr>
        <w:t>on February 7, 2021, which regulates the competition among Internet platforms.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the abuse of market dominance in the platform economy, first define the relevant market, analyze whether the operator has a dominant position in the relevant market, and then analyze whether it constitutes abuse of market dominance according to individual circumstances.</w:t>
      </w:r>
    </w:p>
    <w:p>
      <w:pPr>
        <w:spacing w:after="0" w:line="17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On March 10, 2023, the SAMR issued the </w:t>
      </w:r>
      <w:r>
        <w:rPr>
          <w:rFonts w:ascii="Times New Roman" w:cs="Times New Roman" w:eastAsia="Times New Roman" w:hAnsi="Times New Roman"/>
          <w:sz w:val="18"/>
          <w:szCs w:val="18"/>
          <w:i w:val="1"/>
          <w:iCs w:val="1"/>
          <w:color w:val="auto"/>
        </w:rPr>
        <w:t>Provisions on Prohibiting the Abuse of Administrative Power to Eliminate and Restrict Competition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Provisions on Anti-Monopoly Agreements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Provisions on Prohibition of Abuse of Dominant Market Position</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Regulations on the Review of</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Concentration of Undertakings</w:t>
      </w:r>
      <w:r>
        <w:rPr>
          <w:rFonts w:ascii="Times New Roman" w:cs="Times New Roman" w:eastAsia="Times New Roman" w:hAnsi="Times New Roman"/>
          <w:sz w:val="18"/>
          <w:szCs w:val="18"/>
          <w:color w:val="auto"/>
        </w:rPr>
        <w:t>, all of which came into effect on April 15, 2023. The SAMR amended the</w:t>
      </w:r>
      <w:r>
        <w:rPr>
          <w:rFonts w:ascii="Times New Roman" w:cs="Times New Roman" w:eastAsia="Times New Roman" w:hAnsi="Times New Roman"/>
          <w:sz w:val="18"/>
          <w:szCs w:val="18"/>
          <w:i w:val="1"/>
          <w:iCs w:val="1"/>
          <w:color w:val="auto"/>
        </w:rPr>
        <w:t xml:space="preserve"> Provisions on Prohibiting the Abuse of Administrative Power to Eliminate and Restrict </w:t>
      </w:r>
      <w:r>
        <w:rPr>
          <w:rFonts w:ascii="Times New Roman" w:cs="Times New Roman" w:eastAsia="Times New Roman" w:hAnsi="Times New Roman"/>
          <w:sz w:val="18"/>
          <w:szCs w:val="18"/>
          <w:color w:val="auto"/>
        </w:rPr>
        <w:t>on December 18, 2025 and amended the</w:t>
      </w:r>
      <w:r>
        <w:rPr>
          <w:rFonts w:ascii="Times New Roman" w:cs="Times New Roman" w:eastAsia="Times New Roman" w:hAnsi="Times New Roman"/>
          <w:sz w:val="18"/>
          <w:szCs w:val="18"/>
          <w:i w:val="1"/>
          <w:iCs w:val="1"/>
          <w:color w:val="auto"/>
        </w:rPr>
        <w:t xml:space="preserve"> Provisions on Anti-Monopoly Agreements </w:t>
      </w:r>
      <w:r>
        <w:rPr>
          <w:rFonts w:ascii="Times New Roman" w:cs="Times New Roman" w:eastAsia="Times New Roman" w:hAnsi="Times New Roman"/>
          <w:sz w:val="18"/>
          <w:szCs w:val="18"/>
          <w:color w:val="auto"/>
        </w:rPr>
        <w:t>on December 9,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of which came into effect on February 1, 2026. These Provisions are promulgated to implement the Anti-Monopoly Law of the PRC, and further strengthen the anti-monopoly legal system.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Relating to Foreign Exchange</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Foreign Currency Exchange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core regulations governing foreign currency exchange in China are the </w:t>
      </w:r>
      <w:r>
        <w:rPr>
          <w:rFonts w:ascii="Times New Roman" w:cs="Times New Roman" w:eastAsia="Times New Roman" w:hAnsi="Times New Roman"/>
          <w:sz w:val="18"/>
          <w:szCs w:val="18"/>
          <w:i w:val="1"/>
          <w:iCs w:val="1"/>
          <w:color w:val="auto"/>
        </w:rPr>
        <w:t>Foreign Exchange Administration Regulations</w:t>
      </w:r>
      <w:r>
        <w:rPr>
          <w:rFonts w:ascii="Times New Roman" w:cs="Times New Roman" w:eastAsia="Times New Roman" w:hAnsi="Times New Roman"/>
          <w:sz w:val="18"/>
          <w:szCs w:val="18"/>
          <w:color w:val="auto"/>
        </w:rPr>
        <w:t>, as amended in August 2008. Certain organizations in the PRC, including foreign invested enterprises, may purchase, sell and/or remit foreign currencies at certain banks authorized to conduct foreign exchange business upon providing valid commercial documents. However, approval of SAFE, is required for capital account transactions.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2014, the SAFE decided to further reform the foreign exchange administration system in order to satisfy and facilitate the business and capital operations of foreign invested enterprises, and issued the </w:t>
      </w:r>
      <w:r>
        <w:rPr>
          <w:rFonts w:ascii="Times New Roman" w:cs="Times New Roman" w:eastAsia="Times New Roman" w:hAnsi="Times New Roman"/>
          <w:sz w:val="18"/>
          <w:szCs w:val="18"/>
          <w:i w:val="1"/>
          <w:iCs w:val="1"/>
          <w:color w:val="auto"/>
        </w:rPr>
        <w:t>Circular on the Relevant Issues Concerning the Launch of Reforming Trial of the Administration Model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Settlement of Foreign Currency Capital of Foreign-Invested Enterprises in Certain Areas </w:t>
      </w:r>
      <w:r>
        <w:rPr>
          <w:rFonts w:ascii="Times New Roman" w:cs="Times New Roman" w:eastAsia="Times New Roman" w:hAnsi="Times New Roman"/>
          <w:sz w:val="18"/>
          <w:szCs w:val="18"/>
          <w:color w:val="auto"/>
        </w:rPr>
        <w:t>on July 4, 2014 or SAFE Circular 36. The SAFE Circular 36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suspends the application of the SAFE Circular 142 in certain areas and allows a foreign-invested enterprise registered in such areas to use the RMB capital converted from foreign currency registered capital for equity investments within the scope of business, which will be regarded as the reinvestment of foreign-invested enterprise.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March 30, 2015, the SAFE issued the </w:t>
      </w:r>
      <w:r>
        <w:rPr>
          <w:rFonts w:ascii="Times New Roman" w:cs="Times New Roman" w:eastAsia="Times New Roman" w:hAnsi="Times New Roman"/>
          <w:sz w:val="18"/>
          <w:szCs w:val="18"/>
          <w:i w:val="1"/>
          <w:iCs w:val="1"/>
          <w:color w:val="auto"/>
        </w:rPr>
        <w:t>Circular on the Reforming of the Management Method of the Settlement of Foreign Currency Capital of Foreign-Invested Enterprises</w:t>
      </w:r>
      <w:r>
        <w:rPr>
          <w:rFonts w:ascii="Times New Roman" w:cs="Times New Roman" w:eastAsia="Times New Roman" w:hAnsi="Times New Roman"/>
          <w:sz w:val="18"/>
          <w:szCs w:val="18"/>
          <w:color w:val="auto"/>
        </w:rPr>
        <w:t>, or the SAFE Circular 19, which took effect on June 1, 2015, and replaced the SAFE Circular 142 and the SAFE Circular 36.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According to the SAFE Circular 19, the foreign exchange capital of foreign-invested enterprises shall be subject to the Discretional Foreign Exchange Settlement. The Discretional Foreign Exchange Settlement refers to the foreign exchange capital in the capital account of a foreign-invested enterprise for which the rights and interests of monetary contribution has been confirmed by the local foreign exchange bureau (or the book-entry registration of monetary contribution by the banks) can be settled at the banks based on the actual operational needs of the foreign-invested enterprise. The proportion of Discretional Foreign Exchange Settlement of the foreign exchange capital of a foreign-invested enterprise is temporarily determined to be 100%. The Renminbi converted from the foreign exchange capital will be kept in a designated </w:t>
      </w:r>
      <w:r>
        <w:rPr>
          <w:rFonts w:ascii="Times New Roman" w:cs="Times New Roman" w:eastAsia="Times New Roman" w:hAnsi="Times New Roman"/>
          <w:sz w:val="18"/>
          <w:szCs w:val="18"/>
          <w:i w:val="1"/>
          <w:iCs w:val="1"/>
          <w:color w:val="auto"/>
        </w:rPr>
        <w:t>account</w:t>
      </w:r>
      <w:r>
        <w:rPr>
          <w:rFonts w:ascii="Times New Roman" w:cs="Times New Roman" w:eastAsia="Times New Roman" w:hAnsi="Times New Roman"/>
          <w:sz w:val="18"/>
          <w:szCs w:val="18"/>
          <w:color w:val="auto"/>
        </w:rPr>
        <w:t xml:space="preserve"> and if a foreign-invested enterprise needs to make further payment from such account, it still needs to provide supporting documents and go through the review process with the banks.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SAFE issued the </w:t>
      </w:r>
      <w:r>
        <w:rPr>
          <w:rFonts w:ascii="Times New Roman" w:cs="Times New Roman" w:eastAsia="Times New Roman" w:hAnsi="Times New Roman"/>
          <w:sz w:val="18"/>
          <w:szCs w:val="18"/>
          <w:i w:val="1"/>
          <w:iCs w:val="1"/>
          <w:color w:val="auto"/>
        </w:rPr>
        <w:t>Circular on Reforming and Regulating the Policies for the Administration of Foreign Exchange</w:t>
      </w:r>
      <w:r>
        <w:rPr>
          <w:rFonts w:ascii="Times New Roman" w:cs="Times New Roman" w:eastAsia="Times New Roman" w:hAnsi="Times New Roman"/>
          <w:sz w:val="18"/>
          <w:szCs w:val="18"/>
          <w:color w:val="auto"/>
        </w:rPr>
        <w:t xml:space="preserve"> Settlement </w:t>
      </w:r>
      <w:r>
        <w:rPr>
          <w:rFonts w:ascii="Times New Roman" w:cs="Times New Roman" w:eastAsia="Times New Roman" w:hAnsi="Times New Roman"/>
          <w:sz w:val="18"/>
          <w:szCs w:val="18"/>
          <w:i w:val="1"/>
          <w:iCs w:val="1"/>
          <w:color w:val="auto"/>
        </w:rPr>
        <w:t>under the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w:t>
      </w:r>
      <w:r>
        <w:rPr>
          <w:rFonts w:ascii="Times New Roman" w:cs="Times New Roman" w:eastAsia="Times New Roman" w:hAnsi="Times New Roman"/>
          <w:sz w:val="18"/>
          <w:szCs w:val="18"/>
          <w:color w:val="auto"/>
        </w:rPr>
        <w:t>, or the SAFE Circular 16, in June 2016, which became effective simultaneously and was further revised in December, 2023. Pursuant to the SAFE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Circular 16, enterprises registered in the PRC may also convert their foreign debts from foreign currency to Renminbi on a discretionary basis. The SAFE Circular 16 provides an integrated standard for conversion of foreign exchange under capital account items (including but not limited to foreign currency capital and foreign debts) on a discretionary basis which applies to all enterprises registered in the PRC. The SAFE Circular 16 reiterates the principle that Renminbi converted from foreign currency-denominated capital of a company may not be directly or indirectly used for purposes beyond its business scope or prohibited by PRC laws or regulations, while such converted Renminbi shall not be provided as loans to its non-affiliated entities. As the SAFE has not provided detailed guidelines with respect to its interpretation or implementations, it is uncertain how these rules will be interpreted and implemented.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January 2017, the SAFE promulgated the </w:t>
      </w:r>
      <w:r>
        <w:rPr>
          <w:rFonts w:ascii="Times New Roman" w:cs="Times New Roman" w:eastAsia="Times New Roman" w:hAnsi="Times New Roman"/>
          <w:sz w:val="18"/>
          <w:szCs w:val="18"/>
          <w:i w:val="1"/>
          <w:iCs w:val="1"/>
          <w:color w:val="auto"/>
        </w:rPr>
        <w:t>Circular on Further Promoting the Reform of Foreign Exchange Administration and Improving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Examination of Authenticity and Compliance</w:t>
      </w:r>
      <w:r>
        <w:rPr>
          <w:rFonts w:ascii="Times New Roman" w:cs="Times New Roman" w:eastAsia="Times New Roman" w:hAnsi="Times New Roman"/>
          <w:sz w:val="18"/>
          <w:szCs w:val="18"/>
          <w:color w:val="auto"/>
        </w:rPr>
        <w:t>, or the SAFE Circular 3, which took effect on the same day. The SAFE Circular 3 sets out various measures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tighten genuineness and compliance verification of cross-border transactions and cross-border capital flow, which include without limitation requiring banks to verify board resolutions, tax filing form, and audited financial statements before wiring foreign invested enterprises’ foreign exchange distribution above US$50,000, and strengthening genuineness and compliance verification of foreign direct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PRC subsidiaries’ distributions to their offshore parents are required to comply with the requirements as described above.</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Foreign Exchange Registration of Offshore Investment by PRC Residents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PRC residents or entities who have contributed legitimate domestic or offshore interests or assets to the special purpose vehicles, or the “SPVs”, but have yet to obtain the SAFE registration before the implementation of the Circular 37 shall register their ownership interests or control in such SPVs with the SAFE or its local branch. An amendment to the registration is required if there is a material change in the registered SPV, such as any change of basic information including change of such PRC resident’s name and operation term, increases or decreases in investment amounts, transfers or exchanges of shares, or mergers or divisions. Failure to comply with the registration procedures set forth in Circular 37, or making misrepresentation or failure to disclose controllers of foreign-invested enterprise that is established through round-trip investment, may result in restrictions on the foreign exchange activities of the relevant foreign-invested enterprises, including payment of dividends and other distributions, such as proceeds from any reduction in capital, share transfer or liquidation, to its offshore parent or affiliate, and the capital inflow from the offshore parent, and may also subject relevant PRC residents or entities to penalties under PRC foreign exchange administration regulations.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February 2015, the SAFE further promulgated the </w:t>
      </w:r>
      <w:r>
        <w:rPr>
          <w:rFonts w:ascii="Times New Roman" w:cs="Times New Roman" w:eastAsia="Times New Roman" w:hAnsi="Times New Roman"/>
          <w:sz w:val="18"/>
          <w:szCs w:val="18"/>
          <w:i w:val="1"/>
          <w:iCs w:val="1"/>
          <w:color w:val="auto"/>
        </w:rPr>
        <w:t>Circular of the State Administration of Foreign Exchange on Further Simplifying and Improving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 for the Foreign Exchange Administration of Direct Investment</w:t>
      </w:r>
      <w:r>
        <w:rPr>
          <w:rFonts w:ascii="Times New Roman" w:cs="Times New Roman" w:eastAsia="Times New Roman" w:hAnsi="Times New Roman"/>
          <w:sz w:val="18"/>
          <w:szCs w:val="18"/>
          <w:color w:val="auto"/>
        </w:rPr>
        <w:t>, or the SAFE Circular 13, effective June 2015. This SAFE Circular 13 has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SAFE Circular 37 by requiring PRC residents or entities to register with qualified banks rather than the SAFE or its local branch in connection with their establishment or control of an offshore entity established for the </w:t>
      </w: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xml:space="preserve"> of overseas investment or financing. The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SAFE Circular 37 is applicable to our shareholders who are PRC residents and may be applicable to any offshore acquisitions that we make in the future. All of our shareholders who, to our knowledge, are subject to the above SAFE regulations have completed the necessary registrations with the local SAFE branch or qualified banks as required by the SAFE Circular 37.</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Tianhua Wu and some other individual shareholders who indirectly hold shares in our company and who are known to us as being PRC residents had completed the necessary registrations with the local SAFE branch or qualified banks as required by the SAFE Circular 37 in relation to their investment in our company. See “Item 3. Key Information— Certain Risks Related to Our Chinese Operations and Operating Structure – We may be subject to penalties, including restrictions on our ability to inject capital into our PRC subsidiaries, if our PRC resident shareholders or beneficial owners fail to comply with relevant PRC foreign exchange regulations.”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Relating to the Individual Foreign Exchange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December 25, 2006, the PBOC issued the </w:t>
      </w:r>
      <w:r>
        <w:rPr>
          <w:rFonts w:ascii="Times New Roman" w:cs="Times New Roman" w:eastAsia="Times New Roman" w:hAnsi="Times New Roman"/>
          <w:sz w:val="18"/>
          <w:szCs w:val="18"/>
          <w:i w:val="1"/>
          <w:iCs w:val="1"/>
          <w:color w:val="auto"/>
        </w:rPr>
        <w:t>Administrative Measures for Individual Foreign Exchange</w:t>
      </w:r>
      <w:r>
        <w:rPr>
          <w:rFonts w:ascii="Times New Roman" w:cs="Times New Roman" w:eastAsia="Times New Roman" w:hAnsi="Times New Roman"/>
          <w:sz w:val="18"/>
          <w:szCs w:val="18"/>
          <w:color w:val="auto"/>
        </w:rPr>
        <w:t xml:space="preserve">, or the PBOC Order 3, which took effect on February 1, 2007. In addition, on January 5, 2007, the SAFE promulgated the </w:t>
      </w:r>
      <w:r>
        <w:rPr>
          <w:rFonts w:ascii="Times New Roman" w:cs="Times New Roman" w:eastAsia="Times New Roman" w:hAnsi="Times New Roman"/>
          <w:sz w:val="18"/>
          <w:szCs w:val="18"/>
          <w:i w:val="1"/>
          <w:iCs w:val="1"/>
          <w:color w:val="auto"/>
        </w:rPr>
        <w:t>Circular of the State Administration of Foreign Exchange on Issuing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Detailed Rules for the Implementation of the Measures for the Administration of Individual Foreign Exchange</w:t>
      </w:r>
      <w:r>
        <w:rPr>
          <w:rFonts w:ascii="Times New Roman" w:cs="Times New Roman" w:eastAsia="Times New Roman" w:hAnsi="Times New Roman"/>
          <w:sz w:val="18"/>
          <w:szCs w:val="18"/>
          <w:color w:val="auto"/>
        </w:rPr>
        <w:t>, or the SAFE 2007 Circular 1, which took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on the same day with the PBOC Order 3. Pursuant to the provision of the PBOC Order 3 and the 2007 Circular 1, individual foreign exchange businesses in the PRC can be classified into domestic and overseas individual foreign exchange businesses as per transaction, and current accounts and capital accounts as per transaction property. Annual quota management shall be implemented for individual settlement of exchange and individual foreign exchange purchase within the territory of the PRC. The annual quota for domestic individual’s current accounts equivalent to US$50,000 (including US$50,000). In case the total amount of the foreign exchange remitted abroad from his/her foreign exchange savings account in a same day does not exceed the amount equivalent to US$50,000 (including US$50,000), he/she shall deal with it at a bank by presenting his/her valid identity certificate; if the total amount is more than the aforesaid amount, he/she shall handle it by presenting the authentic voucher under the current account indicating the trading volume. As for capital account, a domestic individual may purchase foreign exchange or remit abroad his/her self-owned foreign exchange upon the approval of the local foreign exchange department and shall conduct the corresponding formalities for the registration of foreign exchange for investing abroad. In March 2016, Beijing Rongke received an inquiring notice from the SAFE that required it to review and report the status of our customers’ account opening and fund transfers on our platform. Beijing Rongke made a written submission to the SAFE, which clarified that, among others, (i) at that time, Beijing Rongke was a related party to Tiger Holdings Group Limited (already de-registered), both of which did not participate in the process of the foreign currency purchase by our customers, and (ii) Beijing Rongke was a technology company and Tiger Holdings Group Limited was a registered financial service provider in New Zealand. See Item 3.D “Risk Factor-Risks Related to Our Business and Industry-Violations of the relevant SAFE rules and regulations may give rise to regulatory inquiries, investigations or other actions, which may disrupt our business and could materially and adversely impact our results of operations and financial condition.” We believe that we took necessary measures in response to such inquiry and as of the date of this report, we have not received any further similar inquiry or rectification requirement from the SAFE. However, we cannot assure you that the SAFE will take the same view as us and do not expect a formal notice from the SAFE to inform us whether Beijing Rongke had satisfied the requirements in the aforementioned notice.</w:t>
      </w:r>
    </w:p>
    <w:p>
      <w:pPr>
        <w:spacing w:after="0" w:line="185" w:lineRule="exact"/>
        <w:rPr>
          <w:sz w:val="20"/>
          <w:szCs w:val="20"/>
          <w:color w:val="auto"/>
        </w:rPr>
      </w:pPr>
    </w:p>
    <w:p>
      <w:pPr>
        <w:jc w:val="center"/>
        <w:ind w:right="738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Intellectual Property Rights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PRC Regulations for Copyright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Copyright Law of the PRC</w:t>
      </w:r>
      <w:r>
        <w:rPr>
          <w:rFonts w:ascii="Times New Roman" w:cs="Times New Roman" w:eastAsia="Times New Roman" w:hAnsi="Times New Roman"/>
          <w:sz w:val="18"/>
          <w:szCs w:val="18"/>
          <w:color w:val="auto"/>
        </w:rPr>
        <w:t>, promulgated in 1990 and amended in 2001 and 2010, or the Copyright Law, and its related implementing regulations, promulgated in 2002 and amended in 2013, are the principal laws and regulations governing the copyright related matters. On November 11, 2020, the SCNPC issued amendment to the Copyright Law, which became effective on June 1, 2021. The amended Copyright Law expands the scope of work protected by the copyright, the content of copyright, and the remedies for infringement of the copyright. Registration of copyright is voluntary, and it is administrated by the China Copyright Protection Center.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PRC Regulations for Patent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Patent Law of the PRC</w:t>
      </w:r>
      <w:r>
        <w:rPr>
          <w:rFonts w:ascii="Times New Roman" w:cs="Times New Roman" w:eastAsia="Times New Roman" w:hAnsi="Times New Roman"/>
          <w:sz w:val="18"/>
          <w:szCs w:val="18"/>
          <w:color w:val="auto"/>
        </w:rPr>
        <w:t xml:space="preserve">, or the Patent Law, as amended in 2008, after the grant of the patent right for an invention or utility model, except where otherwise provided for in the Patent Law, no entity or individual may, without the authorization of the patent owner, exploit the patent, that is, make, use, offer to sell, sell or import the patented product, or use the patented process, or use, offer to sell, sell or import any product which is a direct result of the use of the patented process, for production or business purposes. The </w:t>
      </w:r>
      <w:r>
        <w:rPr>
          <w:rFonts w:ascii="Times New Roman" w:cs="Times New Roman" w:eastAsia="Times New Roman" w:hAnsi="Times New Roman"/>
          <w:sz w:val="18"/>
          <w:szCs w:val="18"/>
          <w:i w:val="1"/>
          <w:iCs w:val="1"/>
          <w:color w:val="auto"/>
        </w:rPr>
        <w:t>Detailed Rules for the Implementation of the Patent Law of the PRC</w:t>
      </w:r>
      <w:r>
        <w:rPr>
          <w:rFonts w:ascii="Times New Roman" w:cs="Times New Roman" w:eastAsia="Times New Roman" w:hAnsi="Times New Roman"/>
          <w:sz w:val="18"/>
          <w:szCs w:val="18"/>
          <w:color w:val="auto"/>
        </w:rPr>
        <w:t>, as amend in 2023, promulgated by the State Council provide for patentable inventions, utility models and designs, which must meet three conditions: novelty, inventiveness and practical applicability. After a patent right is granted for a design, no entity or individual shall, without the permission of the patent owner, exploit the patent, that is, for production or business purposes, manufacture, offer to sell, sell, or import any product containing the patented design. Once the infringement of patent is confirmed, the infringer shall, in accordance with the regulations, undertake to cease the infringement, take remedial action, and pay damages, etc. On October 17, 2020, the SCNPC issued amendment to the Patent Law, which became effective on June 1, 2021. The amended Patent Law expands the definition of appearance design, enhances the protection on appearance design, increases the amount of compensation for infringement, and extends the litigation period for infringement of patent.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PRC Regulations for Trademark</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Trademark Law of the PRC</w:t>
      </w:r>
      <w:r>
        <w:rPr>
          <w:rFonts w:ascii="Times New Roman" w:cs="Times New Roman" w:eastAsia="Times New Roman" w:hAnsi="Times New Roman"/>
          <w:sz w:val="18"/>
          <w:szCs w:val="18"/>
          <w:color w:val="auto"/>
        </w:rPr>
        <w:t>, as amended in 2013 and 2019, the right to exclusive use of a registered trademark shall be limited to trademarks which have been approved for registration and to goods for which the use of such trademark has been approved. The period of validity of a registered trademark shall be ten years, counted from the day the registration is approved. According to this law, using a trademark that is identical to or similar to a registered trademark in connection with the same or similar goods without the authorization of the owner of the registered trademark constitutes an infringement of the exclusive right to use a registered trademark. The infringer shall, in accordance with the regulations, undertake to cease the infringement, take remedial action, and pay damages, etc. See Item 3.D “Risk Factors-Risks Related to Our Business and Industry-We may not be able to protect our intellectual property rights.”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PRC Regulations for Domain Name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Measures for the Administration of Internet Domain Names</w:t>
      </w:r>
      <w:r>
        <w:rPr>
          <w:rFonts w:ascii="Times New Roman" w:cs="Times New Roman" w:eastAsia="Times New Roman" w:hAnsi="Times New Roman"/>
          <w:sz w:val="18"/>
          <w:szCs w:val="18"/>
          <w:color w:val="auto"/>
        </w:rPr>
        <w:t xml:space="preserve"> promulgated on August 24, 2017 and effective on November 1, 2017, the “domain name” shall refer to the character mark of hierarchical structure, which identifies and locates a computer on the Internet and corresponds to the Internet protocol address of that computer. The principle of “first come, first serve” is followed for the domain name registration service. After completing the domain name registration, the applicant becomes the holder of the domain name registered by the same. Any organization or individual may file an application for settlement with the domain names dispute resolution institution or file a lawsuit in the PRC courts in accordance with the PRC law, if such organization or individual consider the domain names registered or used by others infringe upon the legal rights and interests of the former.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Relating to Dividend Distribution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principal regulations governing the distribution of dividends paid by wholly foreign-owned enterprises include the </w:t>
      </w:r>
      <w:r>
        <w:rPr>
          <w:rFonts w:ascii="Times New Roman" w:cs="Times New Roman" w:eastAsia="Times New Roman" w:hAnsi="Times New Roman"/>
          <w:sz w:val="18"/>
          <w:szCs w:val="18"/>
          <w:i w:val="1"/>
          <w:iCs w:val="1"/>
          <w:color w:val="auto"/>
        </w:rPr>
        <w:t>Wholly Foreign-Owned Enterprise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Law </w:t>
      </w:r>
      <w:r>
        <w:rPr>
          <w:rFonts w:ascii="Times New Roman" w:cs="Times New Roman" w:eastAsia="Times New Roman" w:hAnsi="Times New Roman"/>
          <w:sz w:val="18"/>
          <w:szCs w:val="18"/>
          <w:color w:val="auto"/>
        </w:rPr>
        <w:t>issued in 1986 and most recently amended in 2016, and the</w:t>
      </w:r>
      <w:r>
        <w:rPr>
          <w:rFonts w:ascii="Times New Roman" w:cs="Times New Roman" w:eastAsia="Times New Roman" w:hAnsi="Times New Roman"/>
          <w:sz w:val="18"/>
          <w:szCs w:val="18"/>
          <w:i w:val="1"/>
          <w:iCs w:val="1"/>
          <w:color w:val="auto"/>
        </w:rPr>
        <w:t xml:space="preserve"> Detailed Rules for the Implementation of the Law of the People’s Republic of China on Wholly Foreign-owned Enterprises </w:t>
      </w:r>
      <w:r>
        <w:rPr>
          <w:rFonts w:ascii="Times New Roman" w:cs="Times New Roman" w:eastAsia="Times New Roman" w:hAnsi="Times New Roman"/>
          <w:sz w:val="18"/>
          <w:szCs w:val="18"/>
          <w:color w:val="auto"/>
        </w:rPr>
        <w:t>issued in 1990 and most recently amended in 2014 , both of which have been superseded from January 1, 2020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 and FIL Implementation Rules, and the Company Law of the People’s Republic of China issued in 1999 and most recently amended in 2023. Under these regulations, wholly foreign-owned enterprises in China may pay dividends only out of their accumulated profits, if any, as determined in accordance with PRC accounting standards and regulations, provided that, a wholly foreign-owned enterprise in China shall firstly set aside at least 10% of its after-tax profit based on PRC accounting standards each year to its general reserves until its cumulative total reserve funds reaches 50% of its registered capital. These reserve funds, however, may not be distributed as cash dividends.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Summary Financial Information Regarding the Company, Its Subsidiaries, and Consolidated VIEs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Among the Company, Its Subsidiaries, and Consolidated VIEs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Group’s main revenues were mostly generated from our wholly owned subsidiaries in New Zealand, Singapore, Hong Kong and the United States for the years ended December 31, 2023, 2024 and 2025. Most of the consolidated VIEs and their subsidiaries operate business in the PRC and their main functions are to support our Licensed Entities. Certain of the costs generated by VIEs and their subsidiaries are covered by these Licensed Entities through inter-company transactions, and we expect that the Licensed Entities will cover a substantial majority of such costs in the future. In general, the holding company transfers funds from financing (including funds from its IPO, follow-on equity offerings, and offerings of convertible bonds, as applicable) to Licensed Entities in the form of capital injections or loans in order to support their business expansion. These Licensed Entities pay the consolidated VIEs and their subsidiaries periodically for the services rendered through inter-company transactions, pursuant to the terms of the contractual arrangements between them. The Group currently does not have any cash management policies specifically governing these transfers between VIE and subsidiaries. Instead, we are guided by the contractual arrangements to which we are a party and, to the extent permissible under those contractual arrangements, the discretion of our management. To date, we have not experienced difficulty in transferring cash to or from the holding company, the subsidiaries, the VIEs, and investors. However, there is no assurance that the PRC government will not regulate transfer of cash.</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illustrate cash flows among the holding company, its subsidiaries, and consolidated VIEs by type, please refer to the following tables (all in US$ thousands):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between holding company and Subsidiaries: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w:t>
            </w:r>
          </w:p>
        </w:tc>
        <w:tc>
          <w:tcPr>
            <w:tcW w:w="16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6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of Loans to Subsidiaries</w:t>
            </w: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(6,721)</w:t>
            </w: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(13,087)</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20" w:type="dxa"/>
            <w:vAlign w:val="bottom"/>
            <w:shd w:val="clear" w:color="auto" w:fill="CFF0FC"/>
          </w:tcPr>
          <w:p>
            <w:pPr>
              <w:spacing w:after="0"/>
              <w:rPr>
                <w:sz w:val="18"/>
                <w:szCs w:val="18"/>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Capital Injections to Subsidiaries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104,495</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between holding company and VIEs: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w:t>
            </w:r>
          </w:p>
        </w:tc>
        <w:tc>
          <w:tcPr>
            <w:tcW w:w="16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6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r>
      <w:tr>
        <w:trPr>
          <w:trHeight w:val="21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of Loans to VIEs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between Subsidiaries and VIEs: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w:t>
            </w:r>
          </w:p>
        </w:tc>
        <w:tc>
          <w:tcPr>
            <w:tcW w:w="16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6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of Loans to VIEs</w:t>
            </w: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(4,185)</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120" w:type="dxa"/>
            <w:vAlign w:val="bottom"/>
            <w:shd w:val="clear" w:color="auto" w:fill="CFF0FC"/>
          </w:tcPr>
          <w:p>
            <w:pPr>
              <w:spacing w:after="0"/>
              <w:rPr>
                <w:sz w:val="18"/>
                <w:szCs w:val="18"/>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Service Fees Paid to VIEs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23,158</w:t>
            </w: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19,439</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26,251</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jc w:val="both"/>
        <w:ind w:right="760"/>
        <w:spacing w:after="0" w:line="266" w:lineRule="auto"/>
        <w:rPr>
          <w:sz w:val="20"/>
          <w:szCs w:val="20"/>
          <w:color w:val="auto"/>
        </w:rPr>
      </w:pPr>
      <w:r>
        <w:rPr>
          <w:rFonts w:ascii="Times New Roman" w:cs="Times New Roman" w:eastAsia="Times New Roman" w:hAnsi="Times New Roman"/>
          <w:sz w:val="18"/>
          <w:szCs w:val="18"/>
          <w:color w:val="auto"/>
        </w:rPr>
        <w:t>Our subsidiaries and the consolidated VIEs did not declare or distribute any dividends or distributions for the years ended December 31, 2023, 2024 and 2025. Additionally, the holding company did not declare nor distribute any dividends or distribution for the years ended December 31, 2023, 2024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Financial Information relating to the VIEs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520" w:type="dxa"/>
            <w:vAlign w:val="bottom"/>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vMerge w:val="restart"/>
          </w:tcPr>
          <w:p>
            <w:pPr>
              <w:spacing w:after="0"/>
              <w:rPr>
                <w:sz w:val="13"/>
                <w:szCs w:val="13"/>
                <w:color w:val="auto"/>
              </w:rPr>
            </w:pPr>
          </w:p>
        </w:tc>
        <w:tc>
          <w:tcPr>
            <w:tcW w:w="1520" w:type="dxa"/>
            <w:vAlign w:val="bottom"/>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VIEs</w:t>
            </w:r>
            <w:r>
              <w:rPr>
                <w:rFonts w:ascii="Times New Roman" w:cs="Times New Roman" w:eastAsia="Times New Roman" w:hAnsi="Times New Roman"/>
                <w:sz w:val="19"/>
                <w:szCs w:val="19"/>
                <w:b w:val="1"/>
                <w:bCs w:val="1"/>
                <w:color w:val="auto"/>
                <w:vertAlign w:val="superscript"/>
              </w:rPr>
              <w:t>(1)</w:t>
            </w:r>
          </w:p>
        </w:tc>
        <w:tc>
          <w:tcPr>
            <w:tcW w:w="220" w:type="dxa"/>
            <w:vAlign w:val="bottom"/>
            <w:vMerge w:val="restart"/>
          </w:tcPr>
          <w:p>
            <w:pPr>
              <w:spacing w:after="0"/>
              <w:rPr>
                <w:sz w:val="13"/>
                <w:szCs w:val="13"/>
                <w:color w:val="auto"/>
              </w:rPr>
            </w:pPr>
          </w:p>
        </w:tc>
        <w:tc>
          <w:tcPr>
            <w:tcW w:w="148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vMerge w:val="restart"/>
          </w:tcPr>
          <w:p>
            <w:pPr>
              <w:spacing w:after="0"/>
              <w:rPr>
                <w:sz w:val="13"/>
                <w:szCs w:val="13"/>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50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Consolidated</w:t>
            </w:r>
            <w:r>
              <w:rPr>
                <w:rFonts w:ascii="Times New Roman" w:cs="Times New Roman" w:eastAsia="Times New Roman" w:hAnsi="Times New Roman"/>
                <w:sz w:val="19"/>
                <w:szCs w:val="19"/>
                <w:b w:val="1"/>
                <w:bCs w:val="1"/>
                <w:color w:val="auto"/>
                <w:vertAlign w:val="superscript"/>
              </w:rPr>
              <w:t>(2)</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740" w:type="dxa"/>
            <w:vAlign w:val="bottom"/>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135,040,164</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65,528,679</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8,140,220,050</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(188,861,684)</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8,151,927,209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893,679,452</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6,043,835</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68,541,254</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(893,660,713)</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74,603,828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1,028,719,616</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71,572,514</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8,208,761,304</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(1,082,522,397)</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8,226,531,037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112,212,219</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41,345,603</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7,335,502,952</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(189,601,802)</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7,299,458,972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51,000,001</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721,561</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5,171,760</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56,893,322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163,212,220</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42,067,164</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7,340,674,712</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(189,601,802)</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7,356,352,294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1,734,199</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34,131,716</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610,389,583</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(34,190,581)</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612,064,917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170,899,537</w:t>
            </w:r>
          </w:p>
        </w:tc>
        <w:tc>
          <w:tcPr>
            <w:tcW w:w="24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(8,597,251)</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187,614,306</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(178,434,971)</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171,481,621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provided</w:t>
            </w:r>
          </w:p>
        </w:tc>
        <w:tc>
          <w:tcPr>
            <w:tcW w:w="1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by operating activities</w:t>
            </w:r>
          </w:p>
        </w:tc>
        <w:tc>
          <w:tcPr>
            <w:tcW w:w="1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(1,970,620)</w:t>
            </w: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(2,242,085)</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1,320,897,408</w:t>
            </w: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1,316,684,703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provided</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by investing activities</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(6,310,613)</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6,359,743</w:t>
            </w:r>
          </w:p>
        </w:tc>
        <w:tc>
          <w:tcPr>
            <w:tcW w:w="22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(7,441,401)</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1,643,517</w:t>
            </w:r>
          </w:p>
        </w:tc>
        <w:tc>
          <w:tcPr>
            <w:tcW w:w="22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(5,748,754)</w:t>
            </w:r>
          </w:p>
        </w:tc>
        <w:tc>
          <w:tcPr>
            <w:tcW w:w="0" w:type="dxa"/>
            <w:vAlign w:val="bottom"/>
          </w:tcPr>
          <w:p>
            <w:pPr>
              <w:spacing w:after="0"/>
              <w:rPr>
                <w:sz w:val="1"/>
                <w:szCs w:val="1"/>
                <w:color w:val="auto"/>
              </w:rPr>
            </w:pPr>
          </w:p>
        </w:tc>
      </w:tr>
      <w:tr>
        <w:trPr>
          <w:trHeight w:val="192"/>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w:t>
            </w:r>
          </w:p>
        </w:tc>
        <w:tc>
          <w:tcPr>
            <w:tcW w:w="1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 financing activities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100,895</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1,163,072</w:t>
            </w: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(2,550,108)</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(1,643,517)</w:t>
            </w: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(2,929,658)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20" w:hanging="372"/>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disclosed amounts of the VIEs were before elimination adjustments of intercompany transactions within the Group. See Note 1 to our audited consolidated financial statements for more information of the VIEs.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disclosed amounts were agreed to or recalculated from our 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40" w:type="dxa"/>
            <w:vAlign w:val="bottom"/>
          </w:tcPr>
          <w:p>
            <w:pPr>
              <w:spacing w:after="0"/>
              <w:rPr>
                <w:sz w:val="18"/>
                <w:szCs w:val="18"/>
                <w:color w:val="auto"/>
              </w:rPr>
            </w:pPr>
          </w:p>
        </w:tc>
        <w:tc>
          <w:tcPr>
            <w:tcW w:w="15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tcPr>
          <w:p>
            <w:pPr>
              <w:spacing w:after="0"/>
              <w:rPr>
                <w:sz w:val="18"/>
                <w:szCs w:val="18"/>
                <w:color w:val="auto"/>
              </w:rPr>
            </w:pPr>
          </w:p>
        </w:tc>
        <w:tc>
          <w:tcPr>
            <w:tcW w:w="15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VIEs</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eliminating adjustments</w:t>
            </w: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Consolidated</w:t>
            </w:r>
            <w:r>
              <w:rPr>
                <w:rFonts w:ascii="Times New Roman" w:cs="Times New Roman" w:eastAsia="Times New Roman" w:hAnsi="Times New Roman"/>
                <w:sz w:val="19"/>
                <w:szCs w:val="19"/>
                <w:b w:val="1"/>
                <w:bCs w:val="1"/>
                <w:color w:val="auto"/>
                <w:vertAlign w:val="superscript"/>
              </w:rPr>
              <w:t>(2)</w:t>
            </w:r>
          </w:p>
        </w:tc>
        <w:tc>
          <w:tcPr>
            <w:tcW w:w="100" w:type="dxa"/>
            <w:vAlign w:val="bottom"/>
          </w:tcPr>
          <w:p>
            <w:pPr>
              <w:spacing w:after="0"/>
              <w:rPr>
                <w:sz w:val="18"/>
                <w:szCs w:val="18"/>
                <w:color w:val="auto"/>
              </w:rPr>
            </w:pPr>
          </w:p>
        </w:tc>
      </w:tr>
      <w:tr>
        <w:trPr>
          <w:trHeight w:val="19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138,828,398</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59,584,580</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6,318,183,323</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(188,649,814)</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6,327,946,487</w:t>
            </w: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676,351,458</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8,219,993</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55,047,276</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(676,252,745)</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63,365,982</w:t>
            </w:r>
          </w:p>
        </w:tc>
      </w:tr>
      <w:tr>
        <w:trPr>
          <w:trHeight w:val="202"/>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815,179,856</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67,804,573</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6,373,230,599</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(864,902,559)</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6,391,312,469</w:t>
            </w: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440,445</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28,658,433</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5,721,789,201</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(189,175,740)</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5,561,712,339</w:t>
            </w: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159,505,397</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1,319,839</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6,651,145</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167,476,381</w:t>
            </w: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159,945,842</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29,978,272</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5,728,440,346</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(189,175,740)</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5,729,188,720</w:t>
            </w:r>
          </w:p>
        </w:tc>
      </w:tr>
      <w:tr>
        <w:trPr>
          <w:trHeight w:val="203"/>
        </w:trPr>
        <w:tc>
          <w:tcPr>
            <w:tcW w:w="27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2,506,026</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28,432,186</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388,828,707</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(28,225,490)</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391,541,429</w:t>
            </w: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60,727,920</w:t>
            </w:r>
          </w:p>
        </w:tc>
        <w:tc>
          <w:tcPr>
            <w:tcW w:w="24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(1,185,593)</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63,340,633</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(61,529,032)</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61,353,928</w:t>
            </w:r>
          </w:p>
        </w:tc>
      </w:tr>
      <w:tr>
        <w:trPr>
          <w:trHeight w:val="203"/>
        </w:trPr>
        <w:tc>
          <w:tcPr>
            <w:tcW w:w="2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w:t>
            </w:r>
          </w:p>
        </w:tc>
        <w:tc>
          <w:tcPr>
            <w:tcW w:w="1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 operating activities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2,065,750</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(2,599,577)</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828,512,079</w:t>
            </w: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827,978,252</w:t>
            </w: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provided</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by investing activities</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(91,954,896)</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1,626,555</w:t>
            </w:r>
          </w:p>
        </w:tc>
        <w:tc>
          <w:tcPr>
            <w:tcW w:w="22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(10,893,902)</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92,565,498</w:t>
            </w:r>
          </w:p>
        </w:tc>
        <w:tc>
          <w:tcPr>
            <w:tcW w:w="22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(8,656,745)</w:t>
            </w:r>
          </w:p>
        </w:tc>
      </w:tr>
      <w:tr>
        <w:trPr>
          <w:trHeight w:val="192"/>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w:t>
            </w:r>
          </w:p>
        </w:tc>
        <w:tc>
          <w:tcPr>
            <w:tcW w:w="1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 financing activities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103,827,422</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1,011,823</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91,553,675</w:t>
            </w: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(92,565,498)</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103,827,422</w:t>
            </w:r>
          </w:p>
        </w:tc>
      </w:tr>
    </w:tbl>
    <w:p>
      <w:pPr>
        <w:spacing w:after="0" w:line="198" w:lineRule="exact"/>
        <w:rPr>
          <w:sz w:val="20"/>
          <w:szCs w:val="20"/>
          <w:color w:val="auto"/>
        </w:rPr>
      </w:pPr>
    </w:p>
    <w:p>
      <w:pPr>
        <w:ind w:left="380" w:right="20" w:hanging="372"/>
        <w:spacing w:after="0" w:line="329"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disclosed amounts of the VIEs were before elimination adjustments of intercompany transactions within the Group. See Note 1 to our audited consolidated financial statements for more information of the VIEs.</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disclosed amounts were agreed to or recalculated from our audited consolidated financial statements.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40" w:type="dxa"/>
            <w:vAlign w:val="bottom"/>
          </w:tcPr>
          <w:p>
            <w:pPr>
              <w:spacing w:after="0"/>
              <w:rPr>
                <w:sz w:val="18"/>
                <w:szCs w:val="18"/>
                <w:color w:val="auto"/>
              </w:rPr>
            </w:pPr>
          </w:p>
        </w:tc>
        <w:tc>
          <w:tcPr>
            <w:tcW w:w="15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tcPr>
          <w:p>
            <w:pPr>
              <w:spacing w:after="0"/>
              <w:rPr>
                <w:sz w:val="18"/>
                <w:szCs w:val="18"/>
                <w:color w:val="auto"/>
              </w:rPr>
            </w:pPr>
          </w:p>
        </w:tc>
        <w:tc>
          <w:tcPr>
            <w:tcW w:w="15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VIEs</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eliminating adjustments</w:t>
            </w: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Consolidated</w:t>
            </w:r>
            <w:r>
              <w:rPr>
                <w:rFonts w:ascii="Times New Roman" w:cs="Times New Roman" w:eastAsia="Times New Roman" w:hAnsi="Times New Roman"/>
                <w:sz w:val="19"/>
                <w:szCs w:val="19"/>
                <w:b w:val="1"/>
                <w:bCs w:val="1"/>
                <w:color w:val="auto"/>
                <w:vertAlign w:val="superscript"/>
              </w:rPr>
              <w:t>(2)</w:t>
            </w:r>
          </w:p>
        </w:tc>
        <w:tc>
          <w:tcPr>
            <w:tcW w:w="100" w:type="dxa"/>
            <w:vAlign w:val="bottom"/>
          </w:tcPr>
          <w:p>
            <w:pPr>
              <w:spacing w:after="0"/>
              <w:rPr>
                <w:sz w:val="18"/>
                <w:szCs w:val="18"/>
                <w:color w:val="auto"/>
              </w:rPr>
            </w:pPr>
          </w:p>
        </w:tc>
      </w:tr>
      <w:tr>
        <w:trPr>
          <w:trHeight w:val="19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144,956,799</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53,313,297</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3,688,745,087</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(197,043,081)</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3,689,972,102</w:t>
            </w: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502,099,724</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11,399,140</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44,595,861</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(502,019,724)</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56,075,001</w:t>
            </w: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647,056,523</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64,712,437</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3,733,340,948</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(699,062,805)</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3,746,047,103</w:t>
            </w: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1,192,454</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26,976,594</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3,256,754,764</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(199,361,543)</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3,085,562,269</w:t>
            </w: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156,887,691</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74,638</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8,100,327</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165,062,656</w:t>
            </w: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158,080,145</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27,051,232</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3,264,855,091</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(199,361,543)</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3,250,624,925</w:t>
            </w:r>
          </w:p>
        </w:tc>
      </w:tr>
      <w:tr>
        <w:trPr>
          <w:trHeight w:val="203"/>
        </w:trPr>
        <w:tc>
          <w:tcPr>
            <w:tcW w:w="27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2,921,100</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24,775,979</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266,800,356</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(21,989,840)</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272,507,595</w:t>
            </w: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32,563,525</w:t>
            </w:r>
          </w:p>
        </w:tc>
        <w:tc>
          <w:tcPr>
            <w:tcW w:w="24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(4,204,124)</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38,343,738</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(33,695,712)</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33,007,427</w:t>
            </w:r>
          </w:p>
        </w:tc>
      </w:tr>
      <w:tr>
        <w:trPr>
          <w:trHeight w:val="203"/>
        </w:trPr>
        <w:tc>
          <w:tcPr>
            <w:tcW w:w="2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w:t>
            </w:r>
          </w:p>
        </w:tc>
        <w:tc>
          <w:tcPr>
            <w:tcW w:w="1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activities</w:t>
            </w:r>
          </w:p>
        </w:tc>
        <w:tc>
          <w:tcPr>
            <w:tcW w:w="1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(247,153)</w:t>
            </w: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(205,895)</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(6,113,306)</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(6,566,354)</w:t>
            </w: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provided</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by investing activities</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(5,127,961)</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(6,169,149)</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(3,092,501)</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6,639,051</w:t>
            </w:r>
          </w:p>
        </w:tc>
        <w:tc>
          <w:tcPr>
            <w:tcW w:w="22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(7,750,560)</w:t>
            </w:r>
          </w:p>
        </w:tc>
      </w:tr>
      <w:tr>
        <w:trPr>
          <w:trHeight w:val="192"/>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w:t>
            </w:r>
          </w:p>
        </w:tc>
        <w:tc>
          <w:tcPr>
            <w:tcW w:w="1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 financing activities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140,385</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402,292</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7,916,793</w:t>
            </w: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(6,639,051)</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1,820,419</w:t>
            </w:r>
          </w:p>
        </w:tc>
      </w:tr>
    </w:tbl>
    <w:p>
      <w:pPr>
        <w:spacing w:after="0" w:line="198" w:lineRule="exact"/>
        <w:rPr>
          <w:sz w:val="20"/>
          <w:szCs w:val="20"/>
          <w:color w:val="auto"/>
        </w:rPr>
      </w:pPr>
    </w:p>
    <w:p>
      <w:pPr>
        <w:ind w:left="380" w:right="20" w:hanging="372"/>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disclosed amounts of the VIEs were before elimination adjustments of intercompany transactions within the Group. See Note 1 to our audited consolidated financial statements for more information of the VIEs.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disclosed amounts were agreed to or recalculated from our 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hanging="212"/>
        <w:spacing w:after="0"/>
        <w:tabs>
          <w:tab w:leader="none" w:pos="22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[Reserved]</w:t>
      </w:r>
    </w:p>
    <w:p>
      <w:pPr>
        <w:spacing w:after="0" w:line="225" w:lineRule="exact"/>
        <w:rPr>
          <w:rFonts w:ascii="Times New Roman" w:cs="Times New Roman" w:eastAsia="Times New Roman" w:hAnsi="Times New Roman"/>
          <w:sz w:val="18"/>
          <w:szCs w:val="18"/>
          <w:b w:val="1"/>
          <w:bCs w:val="1"/>
          <w:i w:val="1"/>
          <w:iCs w:val="1"/>
          <w:color w:val="auto"/>
        </w:rPr>
      </w:pPr>
    </w:p>
    <w:p>
      <w:pPr>
        <w:ind w:left="220" w:hanging="212"/>
        <w:spacing w:after="0"/>
        <w:tabs>
          <w:tab w:leader="none" w:pos="22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Capitalization and 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Reasons for the Offer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risks should be considered in conjunction with the information set forth above under the headings “Forward-Looking Statements” and “Item</w:t>
      </w:r>
    </w:p>
    <w:p>
      <w:pPr>
        <w:spacing w:after="0" w:line="27" w:lineRule="exact"/>
        <w:rPr>
          <w:sz w:val="20"/>
          <w:szCs w:val="20"/>
          <w:color w:val="auto"/>
        </w:rPr>
      </w:pPr>
    </w:p>
    <w:p>
      <w:pPr>
        <w:jc w:val="both"/>
        <w:ind w:firstLine="8"/>
        <w:spacing w:after="0" w:line="252" w:lineRule="auto"/>
        <w:tabs>
          <w:tab w:leader="none" w:pos="1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 and below under “Item 5. Operating and Financial Review and Prospects.” These risks may affect the Company’s operating results and, individually or in the aggregate, could cause its actual results to differ materially from past and anticipated future results. The following discussion of risks may contain forward-looking statements which are intended to be covered by the Safe Harbor Statement. Except as may be required by law, the Company undertakes no obligation to publicly update forward-looking statements, whether as a result of new information, future events, or otherwise. The Company invites you to consult any further related disclosures made by the Company from time to time in materials filed with or furnished to the Securities and Exchange Commission, or the SEC.</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multiple risks arising from our corporate structure, including our status as a holding company incorporated in the Cayman Islands that conducts a portion of our business through China-based VIEs with which we have only contractual relationships and in which we do not own an equity interest, and our operations in China, including potential actions or decisions by PRC or U.S. regulatory authorities restricting or affecting our business activities in the PRC or our access to U.S. capital markets. Certain of these risks, as well as other information relating to our corporate structure and operations in China, are highlighted above under “Item 3. Key Information – Certain Risks Related to Our Chinese Operations and Operating Structure” and are summarized immediately below. These risks are incorporated by reference in this “Item 3. Key Information – D. Risk Factors.”</w:t>
      </w:r>
    </w:p>
    <w:p>
      <w:pPr>
        <w:spacing w:after="0" w:line="21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are subject to additional risks as a result of doing business in China, as described in more detail below under the heading “Risks Related to Doing Business in China.”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our historical financial, operating results and growth rates may not be indicative of future performance.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limited operating history. We launched our trading platform in August 2015 and have experienced rapid growth since then. Our total revenues increased from US$272.5 million in 2023 to US$391.5 million in 2024 and increased to US$612.1 million in 2025. We generated net income from US$33.0 million in 2023 to US$61.4 million in 2024 and increased to US$171.5 million in 2025, driven by executing internationalization strategy and building a resilient business model with healthier operating leverage. We expect our business expansion to continue as we grow our customer base and explore new market opportunities. However, due to our limited operating history, our historical growth rates may not be indicative of our future performance. We cannot assure you that we will grow at the same rate and succeed in introducing new services and products as we did in the past. Further, we may fail to adjust our business model to our development needs or the requirements of this ever-changing industry. You should consider our prospects in light of the risks and uncertainties that a fast-growing company with a limited operating history may be exposed to or encounter.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in the past and may incur losses in the future.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generated net income from US$33.0 million in 2023 to US$61.4 million in 2024 and increased to US$171.5 million in 2025, but we incurred net losses in the past. We have made significant investments in research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development, employee compensation and benefits, communication and market data, and marketing and branding to rapidly develop and expand our business. We expect to continue or increase such investments to establish and expand our business, and these investments may not result in an increase in revenue or positive cash inflow from operations in a timely manner, or at all.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incur substantial losses for a number of reasons, including the lack of a larger customer base, as well as other risks discussed herein, and we may incur unforeseen expenses, or encounter difficulties, complications and delays in generating revenues or achieving profitability. We may also incur net losses in the future due to changes in the macroeconomic and regulatory environment, competitive dynamics and our inability to respond to these changes in a timely and effective manner. If we are unable to maintain profitability, we may have to reduce the scale of our operations, which may impact our business growth and adversely affect our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Non-compliance with applicable laws in the jurisdictions in which we operate could harm our business, reputation,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businesses of securities and other financial instruments are heavily regulated. Our brokerage business is subject to regulations in the United States, Singapore, New Zealand, Australia, Hong Kong and other jurisdictions in which we offer our products and services. Major regulatory bodies include, among others, in the United States, the Financial Industry Regulatory Authority, or FINRA, the U.S. Securities and Exchange Commission, or the SEC, and the Commodity Futures Trading Commission, or the CFTC; in Singapore, the Monetary Authority of Singapore, or the MAS; in New Zealand, the Financial Markets Authority New Zealand, or the FMA, and the Financial Service Providers Register, or the FSPR; in Australia, the Australian Securities and Investments Commission, or ASIC; in Hong Kong, the Securities and Futures Commission or SFC. Domestic and foreign stock exchanges, other self-regulatory organizations and state and foreign securities commissions can censure, fine, issue cease-and-desist orders, suspend or expel a broker and its officers or employees.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routine regulatory oversight, examinations, and inquiries by regulatory authorities as part of the ordinary course of our business. These have in some instances led to, and might in the future lead to, enforcement proceedings as well as other actions and claims, resulting in injunctions, fines, penalties, and monetary settlements. For instance, FINRA informed us they had found the following instances of alleged non-compliance: (i) from January 2019 to November 2021, US Tiger Securities, Inc. (US Tiger Securities) failed to retain and review communications on an electronic messaging platform; and (ii) between November 2019 and March 2021 (with respect to US Tiger Securities) and from April 2021 to June 2023 (with respect to TradeUP Securities Inc. (TradeUP Securities)), both firms had deficiencies in the design of their anti-money laundering, or AML procedures as well as inadequate AML risk due diligence practices. In April 2025, US Tiger Securities and TradeUP Securities reached a final settlement with FINRA, accepting a censure and monetary fines of $250,000 and $700,000, respectively, which had been fully paid.The firms permanently discontinued use of the referenced messaging platform in November 2021 and implemented significant institutional and technical measures to strengthen their AML programs and enhance due diligence reviews for high-risk accounts. Additionally, TradeUP Securities engaged an independent third-party consultant to further review and monitor its compliance improvement progress. The third-party consultant recommended remedial measures addressing the deficiencies identified in the foregoing proceeding. TradeUP Securities submitted its remedy reply to FINRA in March 2026. TradeUP Securities has not received feedback from FINRA on this submission.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Separately, in 2024, TradeUP Securities reached a resolution with FINRA regarding short interest positions and was fined $300,000 for failing to submit the short interest reports between 2021 and 2023. TradeUP Securities consented to the findings that it failed to report its short interest positions. It also implemented new procedures to ensure the accuracy and timely submission of the reporting and updated its Written Supervisory Procedures Checklist to address short interest reporting requirements.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TradeUP Securities has been subject to other regulatory examinations by FINRA and the SEC. FINRA conducted a routine examination of TradeUP Securities for 2024 and issued an inspection report in 2025 identifying certain issues in TradeUP Securities' operations, business and compliance practices. TradeUP Securities submitted its responses to FINRA in April 2025 and has not received further feedback from FINRA so far. TradeUP Securities is currently in the process of its 2025 examination by FINRA. Separately, TradeUP Securities underwent an examination by the SEC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and received an examination deficiency letter on in September 2025, which identified certain deficiencies relating to the firm' s operations, business practices, internal controls and supervision. TradeUP Securities submitted its response to the SEC in November 2025. To date, TradeUP Securities has not received further comments from the SEC on the matter.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other subsidiary, TradeUP Crypto LLC, has been subject to examinations by state regulators, including Washington in 2025, and New Hampshire and Arizona jointly in 2026, and received examination memos from these regulators identifying certain operational and compliance related issues. TradeUP Crypto LLC submitted its responses to these state regulators and has not received any further comments from them to date.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remedial measures taken and our responses to the regulators can fully address the issues identified by them, or we will not be subject to any regulatory investigations, actions, or settlements in the future. These proceedings, inquiries, examinations, investigations, and other regulatory matters, and non-compliance with applicable laws or regulations could subject us or our affiliates, officers or employees to regulatory sanctions, including fines, penalties, and monetary settlements. These may require substantial management attention, result in additional compliance requirements, result in the relevant subsidiaries having their regulatory licenses or ability to conduct business in some jurisdictions suspended or revoked, increase regulatory scrutiny of our business, restrict our operations or require us to change our business practices, require changes to our products and services, delay planned product or service launches or development, require changes in personnel or management, or lead to the suspension or expulsion of our broker-dealer or other regulated subsidiaries or their officers or employees, which could have a material adverse effect on our reputation, results of operations and future prospects.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securities brokerage firms are subject to numerous conflicts of interest or perceived conflicts of interest, over which federal and state regulators and self-regulatory organizations have increased their scrutiny. Addressing conflicts of interest is a complex and difficult undertaking. Our business and reputation could be harmed if we were to fail, or appear to fail, to address conflicts appropriately.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use the Internet and mobile network as a major distribution channel to provide services to our customers. A number of regulatory agencies have adopted regulations regarding customer privacy, system security and safeguarding practices and the use of customer information by service providers. Additional laws and regulations relating to the Internet and mobile network and safeguarding practices could be adopted in the future, including laws related to access and identity theft and regulations regarding the pricing, taxation, content and quality of products and services delivered over the Internet and mobile network. Complying with these laws and regulations may be expensive and time-consuming and could limit our ability to use the Internet and mobile network as a distribution channel, which would have a material adverse effect on our business and profitability.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comply with all applicable laws and rules is largely dependent on our internal and third party vendors’ system to ensure compliance, as well as our ability to attract and retain qualified compliance personnel. While we maintain systems and procedures designed to ensure that we comply with applicable laws and regulations, violations could still occur. Some legal and regulatory frameworks provide for the imposition of fines or penalties for non-compliance even though the non-compliance was inadvertent or unintentional and even though systems and procedures reasonably designed to prevent violations were in place at the time. There may be other negative consequences resulting from a finding of non-compliance, including restrictions on certain activities. Such a finding may also damage our reputation and our relationships with regulators and could restrict the ability of institutional investment managers to invest in our securities.</w:t>
      </w:r>
    </w:p>
    <w:p>
      <w:pPr>
        <w:spacing w:after="0" w:line="200" w:lineRule="exact"/>
        <w:rPr>
          <w:sz w:val="20"/>
          <w:szCs w:val="20"/>
          <w:color w:val="auto"/>
        </w:rPr>
      </w:pPr>
    </w:p>
    <w:p>
      <w:pPr>
        <w:spacing w:after="0" w:line="20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all necessary licenses, permits and approvals and to make all necessary registrations and filings for our activities in multiple jurisdictions and related to residents therein, especially in China or otherwise related to PRC residents.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a heavily-regulated industry which requires various licenses, permits and approvals in different jurisdictions to conduct our businesses. Our customers include people who live in jurisdictions where we do not have licenses issued by the local regulatory bodies. It is possible that authorities in those jurisdictions may take the position that we are required to obtain licenses or otherwise comply with laws and regulations which we believe are not required or applicable to our business activities. If we fail to comply with the regulatory requirements, we may encounter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risk of being disqualified for our existing businesses or being rejected for renewal of our qualifications upon expiry by the regulatory authorities as well as other penalties, fines or sanctions. In addition, in respect of any new business that we may contemplate, we may not be able to obtain the relevant approvals for developing such new business if we fail to comply with the relevant regulations and regulatory requirements. As a result, we may fail to develop new business as planned, or we may fall behind our competitors in such businesses.</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 significant portion of our technology research and development, management, supporting and other teams are based in China and a significant portion of our customers are Chinese speaking people including PRC citizens. Our PRC subsidiaries and the VIEs work closely with and provide significant supporting services for our trading platform outside of China as well as teams in New Zealand, Hong Kong, Singapore, the United States and Australia. As a result, compliance with PRC securities laws and regulations is of particular significance to our business.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2016, the CSRC posted an investor alert on its website warning investors that the CSRC has not approved any domestic or foreign institutions to provide services for domestic investors to participate in overseas securities trading, except through certain approved investment channels. In September 2016, we received a rectification notice issued by the Beijing branch of the CSRC requiring us, among other things, to refrain from providing support to unauthorized foreign service providers that conduct securities business in China. Following such notice, we took certain rectification measures to comply with the requirements set forth therein and provided written responses to such authority promptly]. We also communicate with the Beijing branch of the CSRC from time to time to ensure our business follows their requirements. We believe that we have taken necessary measures in response to this notice.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30, 2022, the CSRC issued the CSRC 1230 Notice, stating that we had carried out cross-border securities business for Chinese mainland investors without approval of the CSRC, constituting illegal operation of securities business under the Securities Law of the PRC. The CSRC 1230 Notice set out two principal rectification requirements: (i) we should stop all incremental illegal operations in Chinese mainland, such as soliciting and developing any new Chinese mainland customers or opening new securities accounts for them; and (ii) we should properly handle the existing accounts held by Chinese mainland investors by allowing them to continue their transactions through such accounts. At the same time, we are strictly prohibited from accepting any incremental funds that violate PRC foreign exchange regulations to such existing accounts. Furthermore, on February 15, 2023, the CSRC published its official reply in response to the public attention on the CSRC 1230 Notice, emphasizing its core requirements of “prohibiting incremental illegal business effectively and solving existing issues properly.” We have been actively cooperating with the CSRC to meet the rectification requirements set out under the CSRC 1230 Notice, including the removal of our APP “Tiger International” from the PRC application market starting from May 18, 2023. We cannot rule out the possibility that we may take the initiative to adopt additional rectification measures in the future to further curb incremental Chinese mainland domestic users and meet the requirements of the CSRC, and such additional measures may materially affect our business in the PRC.</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and may continue to be subject to examinations, investigations, inquiries, and other regulatory actions by the CSRC and other PRC regulatory authorities from time to time in our ordinary course of business. We may receive additional regulatory notices and examinations in the future in connection with our business operations in or related to the PRC. There can be no assurance that our existing or future rectification measures in response to regulatory actions will be deemed sufficient or satisfactory by the relevant regulatory authorities, or that we will not be required to take additional rectification measures that may have a material adverse impact on our business. If our rectifications are deemed to be inadequate, or if we fail to receive, maintain, or renew required permits and certificates in a timely manner or at all or otherwise fail to comply with legal or regulatory requirements, we may be subject to fines, confiscation of gains derived from non-compliant activities, suspension of such activities, or claims for compensation of any economic loss suffered by our customers or other relevant parties.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new laws and regulations in connection with our business activities may be adopted from time to time. While we will use best efforts to comply with applicable current and future PRC laws and regulations, there may be uncertainties regarding the interpretation and application of such laws and regulations, and the PRC government or other governmental authorities may ultimately take a view that is different from ours. If we are found to be non-compliant with applicable PRC laws and regulations, or if any regulatory authority imposes further regulatory actions, sanctions, or penalties on us, our reputation, business, financial condition, and results of operations could be materially and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be unable to accurately or timely report our results of operations or prevent fraud, and investor confidence and the market price of the ADSs may be materially and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controls such that there is a reasonable possibility that a material misstatement of our annual or interim financial statements will not be prevented or detected on a timely basis. While, based on our management’s assessment on the performance of the internal controls, we determined that no material weakness existed as of December 31, 2025. In the future we may determine that we have additional material weaknesses, or our independent registered public accounting firm may disagree with our management assessment of the effectiveness of our internal controls.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Sarbanes-Oxley Act of 2002. Section 404 of the Sarbanes-Oxley Act, or Section 404, requires that we include a report from management on the effectiveness of our internal control over financial reporting in our annual report on Form 20-F. In addition, our independent registered public accounting firm must attest to and report on the effectiveness of our internal control over financial reporting.</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management has concluded that our internal control over financial reporting was effective as of December 31, 2025. See “Item 15. Controls and Procedures—Management’s Annual Report on Internal Control over Financial Reporting.” However, if we fail to maintain the adequacy of our internal control over financial reporting, as these standards are modified, supplemented or amended from time to time, including the Sarbanes-Oxley Act of 2002, the rules and regulations of the U.S. Securities and Exchange Commission (SEC), the standards of the Public Company Accounting Oversight Board (PCAOB) (including AS 2201, An Audit of Internal Control Over Financial Reporting That Is Integrated with An Audit of Financial Statements), the COSO Internal Control - Integrated Framework, and any other applicable regulatory or accounting standards related to internal control over financial reporting, we may not be able to conclude on an ongoing basis that we have effective internal control over financial reporting in accordance with Section 404 and our independent registered public accounting firm may not be able to conclude that we have effective internal control over financial reporting at a reasonable assurance level.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for prior periods. Furthermore, we have incurred and anticipate that we will continue to incur considerable costs, management time and other resources in an effort to comply with Section 404 of the Sarbanes-Oxley Act and other requirements.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Violations of the relevant SAFE rules and regulations may give rise to regulatory inquiries, investigations or other actions, which may disrupt our business and could materially and adversely impact our results of operations and financial condition.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significant portion of our customers are PRC citizens resident in China and are therefore subject to the restrictions imposed by the applicable rules and regulations promulgated by the State Administration of Foreign Exchange, or the SAFE, regarding the conversion of Renminbi into foreign currencies and the remittance and use of such funds outside China. Under the current PRC foreign exchange regulations, each PRC citizen is permitted to convert up to an aggregate of US$50,000 equivalent Renminbi each year for appropriate personal use. Such appropriate use does not include direct investment into secondary stock markets. PRC citizens who intend to convert U.S. dollars exceeding such quota are required to go through additional application and review procedures with the relevant commercial banks designated by the SAFE. Despite our emphasis on our customers’ compliance with the relevant rules and regulations in the agreements with customers on our platform, we cannot assure you that our customers will follow the rules and regulations and the provisions in our agreements at all times. Any misbehavior or violation of our customers of applicable laws and regulations could lead to regulatory inquiries and investigations that involve us, which may affect our prospects.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our customers’ transfer of funds, in March 2016, we received a notice from the SAFE requiring us to review and report situations regarding our customers’ account opening and fund transfers on our platform.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Thereafter, the regulator conducted an onsite inspection collecting information on our customers’ compliance with the relevant SAFE rules and regulations since the inception of our business. We submitted the relevant materials as requested by the regulator by the end of March 2016. In December 2016, the SAFE made another visit to our company and we submitted some additional documents per its requirements. As of the date of this report, we have not received any further inquiries or notices from the SAFE regulators. For more details of the notice aforementioned and our measures in response thereto, please see “Item 3. Key Information – Description of Certain PRC Regulations Affecting Our Business.” Since the PRC authorities and the commercial banks designated by the SAFE to conduct foreign exchange services have significant amount of discretion in interpreting, implementing and enforcing the relevant foreign exchange rules and regulations, and for many other factors that are beyond our control and anticipation, we may face more severe consequences, including but not limited to being asked to take additional and burdensome measures to monitor the source and use of the foreign currency funds in the accounts of our customers or suspend our operations pending an investigation or indefinitely. As a result, our business, results of operations and financial condition may be materially and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change in the regulatory and legal regime for the securities brokerage industry may have a significant impact on our business model.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Firms in the securities brokerage industry have been subject to an increasingly regulated environment over recent years, and penalties and fines sought by regulatory authorities have also increased. This regulatory and enforcement environment has created uncertainties with respect to various types of products and services that historically had been offered by us and that were generally believed to be permissible and appropriate. Our model of operation and profitability may be directly affected by legislative changes in rules promulgated by government agencies and self-regulatory organizations in various jurisdictions that oversee our businesses, and changes in the interpretation or enforcement of existing laws and rules, such as the potential imposition of transaction taxes.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continue to operate and expand our services internationally, we may have to comply with the regulatory controls of each jurisdiction where we conduct, or intend to conduct business, the requirements of which may not be clearly defined. The varying compliance requirements of these different regulatory jurisdictions, which are often unclear, may limit our ability to continue existing international operations and further expand our business internationally. For example, we face significant legal uncertainties as to whether the CSRC would require us to get certain licenses or permits relating to our activities in China given the fact that most of our technology, customer services and administrative teams are based in China, or whether the CSRC would view our current or previous business operations in China as non-compliant with the relevant regulatory regime. See Item 3.D “Risk Factors - Risks Related to Our Business and Industry-We may not be able to obtain or maintain all necessary licenses, permits and approvals and to make all necessary registrations and filings for our activities in multiple jurisdictions and related to residents therein, especially in China or otherwise related to PRC residents.” We could be subject to disciplinary or other actions in the future due to claimed or deemed non-compliant, which could have a material adverse effect on our business, financial condition and results of operations as further described under “-Non-compliance with applicable laws in certain jurisdictions could harm our business, reputation,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Accusations or claims against us may adversely affect our business operations and reputation.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been involved in cases or claims such as infringements upon reputation and intellectual property rights allegedly conducted by users on our platform, and portraiture right infringements based on the fact that we list some of our shareholders on our website. For other examples, please see Item 3.D “Risk Factors - Risks Related to Our Business and Industry-We may not be able to obtain or maintain all necessary licenses, permits and approvals and to make all necessary registrations and filings for our activities in multiple jurisdictions and related to residents therein, especially in China or otherwise related to PRC residents.” Although the records of investigations or accusations did not necessarily lead to sanctions against us in a direct way, these historical records might be accessed online or offline, which could adversely affect our business operations and reputation, and thus further affect our progress if we decide to enter into new markets in these jurisdictions.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business currently relies mostly on collaboration with Interactive Brokers. Our business will be adversely impacted if we are unable to maintain our relationship with Interactive Brokers.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rely on Interactive Brokers to execute, settle and clear a portion of the trades of the U.S. and Hong Kong stocks and other financial instruments, and to comply with certain federal, state and other laws, as discussed more fully in Item 4.B “Business Overview-Our Core Products and Services-Brokerage Services.” For the years ended December 31, 2023, 2024 and 2025, 16.6%, 10.6% and 6.6% of our total net revenues were executed and cleared by Interactive Brokers. For consolidated accounts, the information of which is not fully disclosed to Interactive Brokers, we receive commission fees and direct a pre-determined portion to Interactive Brokers. For fully disclosed accounts, every time Interactive Brokers executes and clears a trade, it collects the commissions, deducts its pre-determined portion and returns the rest of the commission fees to us. Customers can also trade on margin and short sell securities on our trading platform. We generate interest income arising from margin financing offered by us to consolidated account customers and earn financing service fees related to the margin financing provided by Interactive Brokers to fully disclosed account customers.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our relationship with Interactive Brokers deteriorates, or if Interactive Brokers were to suspend, limit, or cease its operations, we may need to enter into alternative arrangements with different clearing agents or further increase our self-clearing of trades. To date, we have not frequently used any other backup clearing agents for execution and clearing services to the extent we use Interactive Brokers. Our relationships with such clearing agents are subject to a number of risks and may be subject to change or termination with appropriate notice.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relationship with Interactive Brokers has historically been critical to our business and remains important to our business. If we need to enter into alternative arrangements with a different clearing agent to replace our existing arrangements, we may not be able to negotiate a favorable alternative arrangement. Transitioning to a new clearing agent or increasing self-clearing through TradeUP Securities are time-consuming and may affect the user experience or, if our platform becomes inoperable, may result in our inability to facilitate trades through our platform. We would also need to comply with applicable laws regarding execution and clearing services, which would be costly and time-consuming. If we are unsuccessful in maintaining our relationships with Interactive Brokers, our operating cost and expenses might increase, which may materially and adversely affect our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Self-clearing exposes us to significant operational, liquidity, financing and regulatory risks.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began self-clearing a portion of the trades of the U.S. stocks and other financial instruments in the third quarter of 2019, following our acquisition of TradeUP Securities. Nowadays, we self-clear a majority of U.S. and Hong Kong cash equities trades and we expect to increase further in the future the proportion of such trades that we self-clear. Self-clearing requires us to finance transactions and maintain margin deposits at clearing organizations.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Clearing and execution services include the confirmation, receipt, settlement, delivery and record-keeping functions involved in securities transactions. Clearing brokers also assume direct responsibility for the possession or control of client securities and other assets and the clearing of client securities transactions. However, clearing brokers also must rely on third-party clearing organizations, such as the Depositary Trust Clearing Corporation and its subsidiaries in the United States, in settling client securities transactions. Clearing brokers are also responsible for protecting client assets and complying with relevant customer protecting regulations. Clearing securities firms, such as TradeUP Securities, are subject to substantially more regulatory oversight and examination than introducing brokers who rely on others to perform clearing functions. Errors in performing clearing functions, including clerical and other errors related to the handling of funds and securities held by us on behalf of clients, could lead to regulatory fines and civil penalties as well as losses and liability in related legal proceedings brought by clients and others.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required to finance our clients’ unsettled positions and we could be held financially liable for the defaults of our clients. Although these obligations are collateralized, we are subject to market risk in the liquidation of customer collateral to satisfy those obligations. Default by our clients may also give rise to our incurring penalties imposed by execution venues, regulatory authorities and clearing and settlement organizations.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Regulatory agencies have required clearing and settlement organizations to increase the level of margin deposit requirements and they may continue to do so in the future. Growth in trading activity may lead to higher regulatory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requirements. We cannot assure you that these capital requirements will be sufficient to protect market participants from a default or that we will not be adversely affected in the event of a significant default.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self-clearing exposes our business to operational risks, including business and technology disruption; operational inefficiencies; liquidity, financing and regulatory risks; and potentially increased expenses. We may encounter difficulties with self-clearing that lead to operating inefficiencies, technology issues, dissatisfaction amongst our client base, disruption in the infrastructure that supports the business, inadequate liquidity, increased margin requirements with clearing organizations and third-party settlement agents who provide financing with respect to transactions, reductions in available borrowing capacity and financial loss. Any such delay, disruption, expense or failure could adversely affect our ability to effect transactions and manage our exposure to risk. Moreover, any of these events could have a material adverse effect on our business, financial condition and operating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a diverse customer base and offer new and innovative products and services, our business, financial condition and results of operation may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we generated a significant portion of revenues through the provision of online brokerage services including commissions for execution of trades and interest income or financing service fees arising from or related to margin financing for our customers. Key success factors of the online brokerage industry include expansion of products and services that add value to customers, acquisition of licenses in different jurisdictions and enhancement of user experience. We intend to continue strengthening the innovation, security, efficiency and effectiveness of our brokerage services, including our user-friendly interface, comprehensive functionalities and customer service capabilities and to expand our service offerings to institutional customers and increase the proportion of revenues generated from them. We have developed customized application programming interface, or API, for our institutional customers. As institutional customers tend to trade more consistently and demand a wider spectrum of services as compared to individual investors, we strive to foster long-term partnerships with them and to grow our revenue streams substantially as a result of greater number of institutional customers utilizing our trading platform and services. We cannot guarantee that we will be successful in expanding our customer base, and if we are unable to do so, our growth prospects, financial condition and results of operation may be adversely affected.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plan to continue integrating value-added services, including asset management and wealth management services as well as institutional and corporate services to improve popularity and enhance customer stickiness and diversify revenue streams. As we provide a wider array of services, including ESOP, asset management and wealth management services, we expect to attract more institutional and corporate customers to engage us to provide such services and in turn generate more revenues. We expect our operating cost and expenses to continue to increase. If we are unable to develop products and services that attract sufficient customers, our business, financial condition and results of operation may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operate in a cost-effective manner, our results of operation may be negatively impacted.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control costs and expenses relating to our operations affects our profitability. With the expansion of our business, we expect our operating cost and expenses to continue to increase, including employee compensation and benefits, marketing and branding and other costs and expenses. The salary level in the fintech industry in and outside China has generally increased in recent years, and we offer competitive wages and other benefits to recruit and retain quality professionals. Employee compensation and benefits (excluding share-based compensation) increased from US$90.6 million in 2023 to US$112.6 million in 2024 and US$151.6 million in 2025. In addition, we utilize various marketing tools, including branding on online and traditional channels, collaborating with business partners, hosting branding events and circulating branding materials, to attract new customers, retain our existing customers and increase our revenues. Our marketing and branding expenses were US$20.9 million, US$28.5 million and US$49.5 million in 2023, 2024 and 2025, respectively, accounting for 7.7%, 7.3% and 8.1%, respectively, of our total revenues for the same periods. If we are unable to operate in a cost-effective manner, our results of operations may be negatively impacted.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number of external service providers for certain key market information and data, technology, processing and supporting functions.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a number of external service providers for certain key market information and data, technology, processing and supporting functions. These include the services of market makers, exchanges and Interactive Brokers and other clearing agents and clearinghouses to execute and settle customer orders. Furthermore, external content providers provide us with financial information, market news, charts, option and stock quotes and other fundamental data that we offer to customers. These service providers face technical, operational and security risks of their own. Any significant failures by them, including improper use or disclosure of our confidential customer, employee or company information, could interrupt our business, cause us to incur losses and harm our reputation. Particularly, we have contracted with Nasdaq, New York Stock Exchange and a few other institutions to allow our customers to access real-time market information data, which are essential for our customers to make their investment decisions and take actions. Any failure of such information providers to update or deliver the data in a timely manner as provided in the agreements could lead to potential losses of our customers, which will in turn affect our business operations and reputation.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assure that the external service providers will be able to continue to provide these services to meet our current needs in an efficient and cost-effective manner, or that they will be able to adequately expand their services to meet our needs in the future. Some external service providers which have assets that are important to the services they provide us are located outside the United States, and their ability to provide these services is subject to risks from unfavorable political, economic, legal or other developments, such as social or political instability, changes in governmental policies or changes in the applicable laws and regulations.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interruption in or the cessation of service by any external service provider as a result of system failures, capacity constraints, financial constraints or problems, unanticipated trading market closures or for any other reason and our inability to make alternative arrangements in a smooth and timely manner, if at all, could have a material adverse effect on our business, results of operations and financial condition.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disputes might arise out of or in connection with the agreements regarding our or the service providers’ performance of the obligations thereunder. To the extent that any service provider disagrees with us on the quality of the products or services, terms and conditions of the payment or other provisions of such agreements, we may face claims, disputes, litigations or other proceedings initiated by such service provider against us. We may incur substantial expenses and require significant attention of management in defending against these claims, regardless of their merit. We could also face damages to our reputation as a result of such claims, and our business, financial condition, results of operations and prospects could be materially and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the cooperation agreements with a few third party platforms for a portion of our revenues and customers.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enter into revenue-sharing arrangements with third party platforms, pursuant to which those platforms allow us to interface with their own customers and receive a percentage of the fees paid by those customers who have transacted through our platform. Our agreements with those platforms typically have a term of one to three years. There can be no assurance that our agreements with them will be extended or renewed after their respective expiration or that we will be able to extend or renew such agreements on terms and conditions favorable to us. If any of the important platforms breaches its obligations under any of these agreements or refuses to extend or renew it when the term expires, we may lose all or a portion of the customer base of its network or we may not be able to continue to acquire new customers through that platform. Any termination or deterioration of our relationship with an important platform, and any extension or renewal after the respective initial term of these agreements on terms and conditions less favorable to us would have a material adverse effect on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pursue acquisitions or joint ventures that could present unforeseen integration obstacles, incur unpredicted costs or may not enhance our business as we expected.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made a few selective acquisitions to expand our business into new areas and jurisdictions. We may in the future continue to pursue acquisitions and joint ventures as part of our growth strategy. Any future acquisition or joint venture may result in exposure to potential liabilities of the acquired companies, significant transaction costs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present new risks associated with entering additional markets or offering new products and integrating the acquired companies or newly established joint ventures. Potential liabilities may arise from deficiencies in due diligence findings and deficient past track record results. We may also become subject to new, different, and potentially more complex or onerous regulatory requirements as our business, services, and geographic footprint expand. For instance, in November 2018, Tiger Fintech Holdings completed the acquisition of 100% of the equity interests in US Tiger Securities, Inc. In July 2019, Tiger Fintech Holdings completed its acquisition of 100% of the equity of TradeUP Securities, a U.S. online broker service platform that focuses on empowering self-directed investors with necessary tools to manage their portfolios. In October 2021, Up Fintech International Limited completed its acquisition of 100% of the equity of Ocean Joy Holdings Limited (“Ocean Joy”), and its sole subsidiary Tiger Brokers (HK) Global Limited (“Tiger Brokers HK”, formerly known as Ocean Joy Securities Limited), a licensed corporation of the Securities and Futures Commission of Hong Kong (“SFC”) holding Type 1 (“Dealing in Securities”), Type 2 (“Dealing in Futures Contracts”), Type 4 (“Advising on Securities”), Type 5 (“Advising on Futures Contracts”) and Type 9 (“Asset Management”) licenses. Such acquisitions made to expand our business, facilities and workforce will also involve costs and risks, such as potential labor disputes and compliance costs and risks. There can be no assurance that we will be able to grow our acquired or invested businesses, or realize returns, benefits of synergies and growth opportunities we expect in connection with such acquisitions.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we may not have sufficient management, financial and other resources to integrate companies we acquire or to successfully operate joint ventures and we may be unable to profitably operate our expanded company structure. Additionally, any new business that we may acquire or joint ventures we may form, once integrated with our existing operations, may not produce expected or intended results.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harmed by global events beyond our control, including overall slowdowns in securities trading. Our revenues and profitability depend on trading volume and are prone to significant and unpredictable fluctuations.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Like other brokerage and financial services firms, our business and profitability are directly affected by elements that are beyond our control, such as economic and political conditions, broad trends in business and finance, changes in volume of securities transactions, changes in the markets in which such transactions occur and changes in how such transactions are processed. A weakness in equity markets, such as a slowdown causing reduction in trading volume in the United States and Hong Kong stocks and other financial instruments, has historically resulted in reduced transaction revenues and would have a material adverse effect on our business, financial condition and results of operations. For example, the highly volatile market conditions in 2023 and 2025 relating to continual geopolitical instability and increase in interest rates across the global caused some of our clients to experience financial losses. If we are unable to collect fees from or recover margin loans made to our clients, our financial condition and results of operations may be adversely affected. Additionally, certain market participants may be overleveraged, which may exacerbate the effects of market volatility. In case of sudden, large price movements, such market participants are more likely to be unable to meet their obligations to brokers who, in turn, may not be able to meet their obligations to their counterparties. As a result, the financial system or a portion thereof could collapse, and the impact of such an event could be catastrophic to our business.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Unrest and conflicts in the Middle East, Europe, and Africa have become a significant source of disruption and material risk in the global financial market, including the ongoing Russia-Ukraine war and the recurrent Israel-Hamas conflict, the conflicts involving Ukraine, Syria, and North Korea, as well as the United States’ recent military operation against Iran and Venezuela and potential ones against Mexico and Greenland. These conflicts and any future conflicts, including potential and threatened conflicts, introduce high financial market volatility, primarily through surging energy prices, supply chain disruptions, and increased inflationary pressures.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revenues depend substantially on our customers’ trading volume, which is influenced by the general trading activities in the securities trading market. Securities trading faces competition from other investment products, such as wealth management products and peer-to-peer lending. These alternative investment products may divert investors from or reduce their activity levels in securities trading, which may adversely affect our trading volume, revenues and business.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general trading activities in our industry are also directly affected by factors such as economic and political conditions, macro trends in business and finance, investors’ interest level in securities trading and legislative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regulatory changes. Any of these factors or other factors may reduce the trading activity level in securities trading industry and adversely affect our business and results of operations and cash flows. Events in global financial markets in recent years resulted in substantial market volatility and increased customer trading volume. However, any sustained downturn in general economic conditions or global equity markets could result in reduced customer trading volume and revenues. Severe market fluctuations or weak economic conditions could reduce our trading volume and revenues and have a material adverse effect on our profitability. As a result, period to period comparisons of our revenues and operating results may not be meaningful, and future revenues and profitability may be subject to significant fluctuations or declines.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Attrition of customer accounts and failure to attract new accounts could have a material adverse effect on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 base mainly comprises of individual customers. Although we offer services designed to educate, support and retain our customers, our efforts to attract new customers or reduce the attrition rate of our existing customers may not be successful. The number of customers on our trading platform depends on the usability and popularity of our trading platform as well as the industry outlook of the online brokerage business. Our customers’ trading volume is directly influenced by the demand for trading by individual investors, which is affected by the general social and economic conditions, as well as individual investors’ preference for the choice of investment products. In addition, customers’ trading activities are influenced by the trading price volatility of the relevant products.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we have a large and highly engaged customer base, which drives our revenue growth. Our ability to continue to effectively maintain and expand our customer base will affect the growth of our business and our revenues going forward. Our total customer accounts increased from 2,195,705 as of December 31, 2023 to 2,499,304 as of December 31, 2024 and 2,657,544 as of December 31, 2025. Our revenues increased from US$272.5 million in 2023 to US$391.5 million in 2024, and increased to US$612.1 million in 2025 as we continue to execute on our internationalization strategy and build a resilient business model with healthier operating leverage. Furthermore, the level of customer engagement affects our commissions, interest income and financing service fees. Total account balance increased from US$30.6 billion as of December 31, 2023 to US$41.7 billion as of December 31, 2024, and increased to US$60.8 billion as of December 31, 2025. Our ability to expand our customer base, including expansion into markets including the United States, Australia, Hong Kong and Singapore, as well as maintain and enhance customer engagement, depends on, among other things, our ability to continuously provide comprehensive and user-friendly online trading experience. If we are unable to maintain or increase our customer retention rates or generate new customers in a cost-effective manner, our business, financial condition and results of operations would likely be adversely affected. Historically, we incurred US$20.9 million, US$28.5 million and US$49.5 million in marketing and branding expenses, representing 7.7%, 7.3%, and 8.1% of our total revenues in 2023, 2024 and 2025, respectively. Although we have spent significant financial resources on marketing expenses and plan to continue doing so, these efforts may not be cost-effective to attract new customers. We cannot assure you that we will be able to maintain or grow our customer base in a cost-effective way. If we are unable to maintain high quality services, or maintain or reduce our service fee rate, or introduce new products and services, we may fail to attract new customers or lose our existing customers, which could adversely affect our growth and profitability.</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earn commissions for brokerage services and interest income or financing service fees for margin financing, our results of operation may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charge commission fees for the brokerage services we deliver to our customers. We also earn interest income or financing service fees arising from or related to margin financing provided by ourselves or third parties to our customers for trading activities. Our ability to earn commission fees, interest income or financing service fees largely depends on the number of customers on our trading platform, their trading volume and our commission fee rate. From 2023 to 2025, the average rate of commissions over trading volume, which is the ratio of the total commissions to the total trading volume in the same period, declined from 0.0315% to 0.0260%. This decline was primarily due to the lower average fee rate attributable to industry competition. If our customers’ account balances, trading volume or commission fee rate decline in the future, we will likely earn less in commissions, which could have a material adverse effect on our results of operations. Additionally, our ability to extend margin financing to our customers largely depends on the amount of funds we can allocate internally and obtain from external sources, such as potential borrowings on revolving credit facilities. In connection with the significant growth in our consolidated account customers, we expect to generate more interest income from margin financing offered to our customers. If we are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unable to extend margin financing and earn commission fees, interest income or financing service fees, or if there is a reduction in our fee rates, our results of operations may be adversely affected. Additionally, market volatility or declines may cause our clients to experience losses, which may result in a higher rate of client defaults. If we are unable to recover funds due from our clients, our results of operations and financial condition will be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level of commission and fee rates may decline in the future. Any material reduction in our commission or fee rates could reduce our profitability.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derive a significant portion of our revenues from commissions and fees paid by our clients for trading securities through our platform. Commission fees generated from our brokerage services accounted for US$92.6 million, US$159.0 million and US$266.8 million in 2023, 2024 and 2025, respectively. We may experience pressure on our commission or fee rates as a result of competition we face in the online brokerage service industry. Some of our competitors offer a broader range of services to a larger client base and enjoy higher trading volumes than we do. Consequently, our competitors may be able and willing to offer trading services at lower commission or fee rates than we currently offer or may be able to offer. For example, some brokers in Hong Kong and the United States offer zero commission fees or similar policies to attract retail securities investors. As a result of this pricing competition, we could lose both market share and revenues. We from time to time award discounted or even zero commission fees to new or existing customers as part of our marketing scheme, thus attracting more customers and boosting customer stickiness. We believe that any downward pressure on commission or fee rates would likely continue and intensify as we continue to develop our business and gain recognition in our markets. A decline in our commission or fee rates could lower our revenues, which would adversely affect our profitability. In addition, our competitors may offer other financial incentives such as rebates or discounts in order to induce trading in their systems rather than in ours. If our commission or fee rate decreases significantly, our operating and financial results may be materially and adversely affected.</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regulatory capital requirements set by local securities regulatory authorities and agencies could materially and negatively affect our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subsidiaries are required to comply with regulatory capital requirements. For example, our subsidiary US Tiger Securities, Inc. is a registered broker-dealer in the United States. Wealthn LLC, another of our subsidiaries, is a registered investment advisor in the United States and a member of the National Futures Association, or the NFA. Our subsidiary Tiger Brokers HK is currently registered in HK to provide brokerage services. Stringent rules with respect to the maintenance of specific levels of net capital by securities broker-dealers or investment advisory firms have been adopted by many regulatory authorities and agencies such as the SEC, FINRA, the U.S. Commodity Futures Trading Commission, or the CFTC, and the NFA.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Tiger Securities, Inc. must comply with the SEC’s net capital requirements, by which its current financial health is measured by assessing its liquidity against the risks where it has exposure. At all times US Tiger Securities, Inc. must maintain its net capital requirements, at a level equal to, or greater than, the prescribed minimum capital. US Tiger Securities, Inc. must maintain a minimum net capital requirement in compliance with the SEC Rule 15c3-1 as well as comply with the SEC Rule 17a-11 and the “early warning levels” for net capital requirements contained therein.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fail to comply with HK, U.S. and Singapore capital adequacy requirements, we will be forced to suspend our business operations until such time as we have injected enough capital to comply with applicable rules and regulations. Additionally, the regulators could suspend or revoke our registration, expel us from membership, or impose censures, fines or other sanctions. If the net capital requirements are changed or expanded, or if there is an unusually large charge against net capital, then our operations that require capital could be limited, and we may not be able to pay dividends. A large operating loss or charge against net capital could have a material adverse effect on our ability to maintain or expand our business.</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and uncertainties associated with the evolving AI regulations, potential infringement claims and increasing costs for regulatory compliance.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incorporating AI into various parts of our service offerings. For instance, we have launched TigerGPT in 2023 and updated it to TigerAI in 2024. TigerAI is an AI investment assistant aimed at providing intelligent decision-making support for investors developed by Tiger Brokers’ R&amp;D team and based on leading AI models; Meanwhile, the intelligent investment analysis tool, TradingFront AI, provides real-time portfolio analysis and market insights for asset management businesses, helping investment advisors enhance their analysis efficiency and decision-making quality. While we believe this technology enhances user experience by delivering timely, concise and to-the-point investment-related information, the deployment and continuous development of such AI technologies involve inherent risks and uncertainties that could affect its adoption and our business. AI algorithms may be flawed, and the data used could be incomplete or biased. Inappropriate or controversial data practices, by us or by others, could limit the acceptance of our AI-enhanced products and content. Certain AI applications could trigger ethical issues. Should our AI-related offerings become controversial due to their effects on human rights, privacy, employment, or other social matters, we risk reputational harm or legal repercussions. In addition, uncertainties regarding the development and application of AI technology present a potential risk. There remains the possibility that AI technology may not progress as anticipated or deliver expected benefits, which could limit the acceptance and popularity of our AI- related offerings.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New artificial intelligence algorithms and predictive models are emerging quickly and may be used by brokerage companies in providing brokerage services to customers. However, the use of new artificial intelligence models may make these companies more susceptible to potential bias, discrimination and data breaches. These concerns could lead to development of new, or modifications to, laws and regulations pertaining to the use of AI by these companies or the broader financial services sector, which may prove to be onerous for companies to implement in a timely manner. The use of artificial intelligence and machine learning technologies, including generative artificial intelligence, has increased rapidly with increasing complexity and changes in the nature of the technology. Our potential uses of generative artificial intelligence may be subject to various risks including flaws or limitations in the large language models or training datasets that may result in biased or inaccurate results, ethical considerations, and the ability to safely deploy and implement governance and controls for such systems.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Laws and regulations related to AI are evolving, and there is uncertainty as to potential adoption of new laws and regulations and the application of existing laws and regulations to use of artificial intelligence, which may restrict or impose burdensome and costly requirements on our ability to use artificial intelligence. In addition, there has been considerable patent and other intellectual property development activity in the artificial intelligence industry, which has resulted in litigation based on allegations of infringement or other violations of intellectual property rights. We may receive claims from third parties, including our competitors, alleging that our use of artificial intelligence technology infringes on or violates such third party's intellectual property rights. Adverse consequences of these risks related to artificial intelligence could undermine the decisions, predictions or analysis such technologies produce and subject us to competitive harm, legal liability, heightened regulatory scrutiny and brand or reputational harm.</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adopt new technologies may be inhibited by the emergence of industry-wide standards, a changing legislative and regulatory environment, an inability to develop appropriate governance and controls, a lack of internal product and engineering expertise, resistance to change from consumers, or lack of appropriate change management processes or the complexity of our systems. In addition, our adoption of new technologies and our introduction of new products and services may expose us to new or enhanced risks, particularly in areas where we have less experience or our existing governance and control systems may be insufficient, which could require us to make substantial expenditures or subject us to legal liability, heightened regulatory scrutiny and brand or reputational harm.</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regulatory and legal framework on generative AI is evolving rapidly and might not fully address every aspect of its research, development, and use. PRC government authorities have sped up creating laws for generative AI related technologies, such as algorithms and deep synthesis. Among other regulatory developments, the CAC, the MIIT, the Ministry of Public Security and the SAMR jointly issued the Administrative Provisions on Algorithm Recommendation for Internet Information Services, or the Algorithm Recommendation Provisions on December 31, 2021, which became effective on March 1, 2022. According to the Algorithm Recommendation Provisions, no organization or individual may use algorithm recommendation services to produce, reproduce, release or disseminate information prohibited by laws and administrative regulations, or to engage in activities that endanger national security and interests, damage the national image, infringe upon social public interests, disrupt the economic and social order or undermine the legitimate rights and interests of others. Specifically, the providers of algorithm recommendation services shall, among other things, establish and maintain management systems for algorithmic mechanism review,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data security and personal information protection. Besides, providers of algorithm recommendation services that influence public opinion or could mobilize society shall undergo security assessments and register its services with the CAC as required by applicable regulations. On November 25, 2022, the CAC, the MIIT and the Ministry of Public Security jointly issued the Administrative Provisions on the Deep Synthesis of Internet Information Services, or the Deep Synthesis Provisions, which became effective on January 10, 2023. The Deep Synthesis Provisions require providers of deep synthesis services to follow such requirements that are substantially the same as those applicable to algorithm recommendation service. On July 10, 2023, seven governmental authorities including the CAC published the Provisional Measures on AI-Generated Content Services, or the AIGC Measures, effective from August 15, 2023, setting compliance standards for generative AI service providers. The AIGC Measures require generative AI service providers to take responsibility for the content they produce in accordance with the law and ensure information security. Besides, providers of generative AI services that influence public opinion or could mobilize society shall undergo security assessments and follow procedures for registering or updating their algorithms as required by applicable regulations. Non-compliance with the AIGC Measures may subject the providers of generative-AI services to penalties, including warning, public denouncement, rectification orders and suspension of the provision of relevant services. On September 24, 2024, the State Council issued the Regulations on Network Data Security Administration, effective from January 1, 2025, which require network data processors offering generative-AI services to enhance the security management of training data and its processing activities, and to implement effective measures to prevent and address network data security risks. On March 7, 2025, the CAC, the MIIT, the Ministry of Public Security and NRTA jointly issued the Measures for Labeling AI-Generated or Synthesized Contents, or the Labeling Measures, effective from September 1, 2025. The Labeling Measures, among others, require the service providers of certain content generated or synthesized using AI technology to properly identify such content with visible and/or hidden labels to ensure transparency and compliance of AI content. However, since these laws and regulations are still relatively new and significant uncertainties remain with respect to their interpretation and implementation, we cannot assure you whether we will be able to comply with the requirements of such laws and regulations in a timely manner or at all. If we are unable to complete all necessary filings and/or assessments, or if we have any dispute with any third party relating to intellectual property or data security, our business operation may be adversely affected.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our status as an anti-money laundering reporting entities and if the relevant regulatory authorities find fault with our compliance programs and engages in enforcement actions against us, our business and reputation may be adversely affected.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complex and changing laws, rules, regulations, policies, and legal interpretations in the markets in which we offer services directly or through partners, including, but not limited to, those governing cross-border and domestic money transmission, anti-money laundering, and counter-terrorist financing. Regulators and legislators globally have been establishing, evolving, and increasing their regulatory authority, oversight, and enforcement in a manner that impacts our business. As we introduce new products and services and expand into new markets, including through acquisitions, we expect to become subject to additional regulations, restrictions, and licensing requirements. As we expand and localize our international activities, we expect that our obligations in the markets in which we operate will continue to increase.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subsidiaries are required to comply with regulatory anti-money laundering requirements. For example, as part of its supervisory function to monitor compliance, the Financial Markets Authorities (FMA) of New Zealand had visited Tiger Brokers (NZ) Limited and Tiger Fintech (NZ) Limited, or Tiger Fintech for an Anti-Money Laundering/Combating the Financing of Terrorism (“AMLCFT”) inspection. If the regulatory authorities identify any issues in future proceedings or initiated enforcement actions against us, our business and reputation may be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applicable rules and regulations relating to segregation of customer funds may have a material adverse effect on our business, results of operations, financial condition, or reputation.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subsidiaries are subject to rules and regulations relating to the segregation of customer funds from our internal funds, set by local securities regulatory authorities and agencies, in the jurisdictions in which they operate. For example, Tiger Brokers (NZ) Limited and Tiger Fintech (NZ) Limited are subject to such rules in New Zealand. If we fail to segregate our customer funds from our internal funds in accordance with applicable rules and regulations, we may be subject to regulatory action including private or public censure, fines, or other legal action, which may have an adverse effect on our business, financial condition, or reputation. As we increase the number of consolidated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we also expect cash segregated for regulatory purposes and payables to customers on our balance sheet to increase significantly.</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in our information technology, or IT, systems could cause interruptions in our services, undermine the responsiveness of our services, disrupt our business, damage our reputation and cause losses.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IT systems support all phases of our operations, including marketing, customer development and the provision of customer support services, and are an essential part of our technology infrastructure. Our technology infrastructure and compliance capabilities are critical for us to offer high quality products and services as well as to retain and attract users and customers. They also enable us to facilitate secure, fast and cost-efficient financial transactions on our platform. We must continue to upgrade and expand our technology infrastructure and to strengthen our compliance system to keep pace with the growth of our business and to develop new features and services for our users and customers. With the continuous improvement of our technology infrastructure and compliance capabilities, we are able to serve more consolidated accounts. From 2018 to 2025, we experienced rapid growth in the number of consolidated accounts and the number of consolidated accounts and corresponding assets under management already surpassed fully disclosed accounts. In connection with the growth of consolidated accounts, we expect our revenues to increase because the revenues for consolidated accounts are recognized on a gross basis including the full amount paid by customers while the revenues for fully disclosed accounts are recognized on a net basis after deducting the execution and clearing expenses paid to Interactive Brokers. We also expect cash segregated for regulatory purposes and payables to customers on our balance sheet to increase significantly as a result of such growth. We will invest more resources on customer verification, record keeping, compliance and trading-related functions for consolidated accounts. Our ability to serve more consolidated accounts, depends on, among other things, our ability to support all aspects of customer verification, record keeping and compliance functions using our technology and human resources.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systems fail to perform, we could experience disruptions in operations, slower response time or decreased customer satisfaction. We must process, record and monitor a large number of transactions and our operations are highly dependent on the integrity of our technology systems and our ability to make timely enhancements and additions to our systems. System interruptions, errors or downtime can result from a variety of causes, including changes in customer usage patterns, technological failures, changes to our systems, linkages with third-party systems and power failures. Our systems are vulnerable to disruptions from human error, execution errors, errors in models such as those used for risk management and compliance, employee misconduct, unauthorized trading, external fraud, computer viruses, distributed denial of service attacks, computer viruses or cyberattacks, terrorist attacks, natural disaster, power outage, capacity constraints, software flaws, events impacting key business partners and vendors, and similar events.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could take an extended period of time to restore full functionality to our technology or other operating systems in the event of an unforeseen occurrence, which could affect our ability to process and settle customer transactions. Moreover, instances of fraud or other misconduct might also negatively impact our reputation and customer confidence in us, in addition to any direct losses that might result from such instances. Despite our efforts to identify areas of risk, oversee operational areas involving risks, and implement policies and procedures designed to manage these risks, there can be no assurance that we will not suffer unexpected losses, reputational damage or regulatory actions due to technology or other operational failures or errors, including those of our vendors or other third parties.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devote substantial attention and resources to the reliability, capacity and scalability of our systems, extraordinary trading volume could cause our computer systems to operate at unacceptably slow speeds or even fail, affecting our ability to process customer transactions and potentially resulting in some customers’ orders being executed at prices they did not anticipate. Disruptions in service and slower system response time could result in substantial losses and decreased customer satisfaction. We are also dependent on the integrity and performance of securities exchanges, clearinghouses and other intermediaries to which customer orders are routed for execution and clearing. System failures and constraints and transaction errors at such intermediaries could result in delays and erroneous or unanticipated execution prices, cause substantial losses for our customers and for us, and subject us to claims from our customers for damages.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currently maintain a disaster recovery and business continuity plan, which is intended to minimize service interruptions and secure data integrity, our plan may not work effectively during an emergency. The information technology system failure may lead to interruption of our operations, which in turn will prevent our customers from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trading and hence significantly reduce customer satisfaction and confidence in us, cause loss or reduce potential gain for our customers, or cause regulatory authorities’ investigation and penalization. Any such system failure could impair our reputation, damage our brand, subject us to claims and materially and adversely affect our business, financial condition, operating results or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keep our technology updated as the industry evolves, our growth, revenues and business prospects may be materially and adversely affected.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proprietary trading platform and customer relationship management system are critical to our business operations. In order to remain competitive, our proprietary technology is under continuous development and upgrade. If we fail to keep our technology updated as needed or as fast as our competitors or in a cost-effective manner, we may lose our competitiveness against our competitors. In addition, advancements in technology are occurring in our industry, including as companies increase use of data analytics, artificial intelligence (AI) and other technology as part of their business strategy. We will be at a competitive disadvantage if, over time, our competitors are more effective than us in their utilization of new technologies. Failure to compete may limit our service quality, lower customer confidence in us or otherwise adversely affect our business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 the rapid advancement of technology, we may encounter risks associated with emerging technologies.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AI continues to evolve, we have taken steps to adapt to technological advancements and ensure the application of new technologies. In April 2023, we introduced TigerGPT, an AI investment assistant developed by our Group based on OpenAI, aims to provide intelligent investment decision-making support for investors. It utilizes advanced natural language processing and machine learning technologies to understand users' natural language inputs, quickly extract relevant information from a large amount of financial data and information, and provide professional answers. Recently, we officially upgraded our AI investment assistant, TigerGPT to TigerAI and integrated with leading AI models, making it one of the first brokerage platform globally to incorporate such technology. Our goal of rolling out TigerAI is to provide accurate responses to investors’ questions based on reliable data. However, TigerAI utilizes AI technology provided by third parties and we cannot guarantee that it will provide accurate responses or that it will not make mistakes. In addition, despite our warning notices posted on the website to all investors that the answers provided by TigerAI are for reference purposes only and do not constitute financial advice, there remains a risk that investors may rely on AI recommendations for investment decisions. This could potentially result in financial losses for investors and consequently pose reputational risks for our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a combination of trademark, copyright, trade secret and fair business practice laws globally to protect our proprietary technology, intellectual property rights and brand. We have not registered some of the names, logos and characters of our platform and products as trademarks, which may adversely affect our reputation, business, financial condition and results of operations, if others register the same or similar terms as their own trademarks. Although we have submitted trademark applications for the names, logos and characters of our platform and products such as “Tiger Trade”, in jurisdictions for existing and potential business, there is no guarantee that our applications will be approved by the relevant authorities. Although we have adopted strict internal policies and have entered into confidentiality and invention assignment agreements with certain of our employees and/or relevant third parties and also rigorously control access to proprietary technology, it is possible that third parties may copy or otherwise obtain and use our proprietary technology without our authorization or otherwise infringe on our rights. We may also face claims of infringement that could interfere with our ability to use technology that is material to our business operations.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also have to rely on litigation to enforce our intellectual property rights, protect our trade secrets, determine the validity and scope of the proprietary rights of others or defend against claims of infringement or invalidity, and may also have to attend litigation initiated against us. Any such litigation, whether successful or unsuccessful, could result in substantial costs and the diversion of resources and the attention of management, any of which could adversely affect our business. In addition, we may have to enter into royalty or licensing agreements where there can be no assurance that such licenses would be available on reasonable terms, if at all, and the settlement of these claims could have a material adverse effect on our business, financial condition and operating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whereby defaults by parties with whom we do business can have an adverse effect on our business, financial condition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brokerage business, we are exposed to customer margin credit risk even though we automatically evaluate each account throughout the trading day and close out positions automatically for accounts that are found to be under-margined. Our policy of evaluating accounts and closing positions for accounts that are found to be underfunded may not be effective in situations in which no liquid market exists for the relevant securities or commodities or in which, for any reason, automatic liquidation for certain accounts has been disabled. If no liquid market exists or automatic liquidation has been disabled, we are subject to risks inherent in extending credit, especially during periods of rapidly declining markets. Any loss or expense incurred due to defaults by our customers in failing to repay margin loans or to maintain adequate collateral for these loans would cause harm to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claims from others and applicable administrative penalties.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in the future receive notices of claims for infringing upon other parties’ intellectual property rights. There can be no assurance that claims for infringement or invalidity (or claims for indemnification resulting from infringement claims) will not be asserted or prosecuted against us. To provide the user community with the latest news and online content, our community website (laohu8.com) was previously programmed to automatically collect and use certain contents provided by third parties without the appropriate authorization or license. Further, some of our users might repost the contents produced by third parties without authorization on our trading platform. The contents created by third parties and published by us or our users could lead to infringement claims. We may also be subject to administrative penalties brought by the National Copyright Administration in China or its local branches for alleged copyright infringement.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be able to promptly identify and remove all contents that may infringe upon third-party rights. Moreover, some right owners might not send us a notice before bringing a lawsuit against us. Thus, our failure to identify unauthorized contents posted on our trading platform can subject us to claims for infringement of third-party intellectual property rights or other rights. Even if we can and have removed all unauthorized content and are in the process of negotiating the license or permit, pursuant to the provisions of applicable laws and regulations, we believe our past violations or infringement might still expose us to potential claims or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protect our platform from cyber-attacks, which may adversely affect our reputation, customer base and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Despite our efforts to safeguard the information of our customers, system malfunctions, employee errors, misconducts or other factors may still occur, which may lead to Internet security emergency. Our computer system, the networks we use, the networks and online trading platforms of the exchanges and other third parties with whom we interact, are potentially vulnerable to physical or electronic computer break-ins, viruses and similar disruptive problems or security breaches. A party that is able to circumvent our security measures could misappropriate proprietary information or customer information, jeopardize the confidential nature of the information we transmit over the Internet and mobile network or cause interruptions in our operations. Also see “Item 3. Key Information – Certain Risks Related to Our Chinese Operations and Operating Structure – If we fail to protect customer data and privacy, our reputation, financial condition and results of operations will be materially and adversely affected.” We or our service providers may be required to invest significant resources to protect against the threat of security breaches or to alleviate problems caused by any breaches. To the extent that our activities involve the storage and transmission of proprietary information and personal financial information, security breaches could expose us to risks of financial loss, litigation and other liabilities. Any of these events, particularly if they result in a loss of confidence in our services, could have a material adverse effect on our reputation, business, financial condition and results of operations.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10, 2025, we experienced a ransomware attack, resulting in restrictions of access to certain office environment shared folders in our US subsidiaries and completed the recovery of all of the affected file data on July 20, 2025. We engaged an independent third-party cybersecurity expert to investigate and address the incident, and we also promptly notified the relevant regulatory authorities but have not received any notices related to the commencement of any formal disciplinary proceedings with respect to this incident. To date, we have worked with data discovery and review team to determine the scope, nature, and extent of information potentially impacted. Recommended and implemented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remediation measures have already been adopted, including rebuilding affected devices, credential resets, enhanced monitoring and endpoint protection, phased migration away from the legacy VPN toward a zero-trust access model, and further strengthening of network segregation and ransomware defenses. For the year ended December 31, 2025, we incurred approximately $1.86 million of costs related to remediation, restoration, communications, investigation and analysis, legal services, and other related expenses. We will invest more on the prioritization and upgrade on our systems and network defenses, aiming to prevent similar incident in the future. There’s no other similar incident occurred for the year ended December 31, 2025. As of the date of this report, the incident did not materially affect us, our business strategy, results of operation or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potential insider trading, money laundering and securities fraud conducted by our customers which we cannot fully eliminate.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our customer agreements require customers to acknowledge that they will observe all insider trading, money laundering and securities fraud laws and regulations in applicable jurisdictions and to assume liabilities for all restrictions, penalties and other responsibilities arising from conducts suspected to constitute insider trading, money laundering and/or, securities fraud, we cannot verify whether every transaction conducted by our customers is in compliance with such laws and regulations because our customers may circumvent our due diligence measures to commit insider trading and/or money laundering. In addition, we will review to see if our customers are politically exposed persons or on certain sanction lists (including but not limited to the lists of money laundering, terrorist financing or other crimes) through search systems provided by third-party suppliers. However, we may still be subject to certain legal or regulatory sanctions, fines or penalties, financial loss, or damage to reputation resulting from the failure of our customers to comply with insider trading and/or money laundering laws and regulations in the relevant jurisdictions. Also see Item 3.D “Risk Factors - Risks Related to Our Business and Industry-We face risks related to our status as an anti-money laundering reporting entity in New Zealand and if the Financial Markets Authority finds fault with our AMLCFT programs and engages in enforcement actions against us, our business and reputation may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KYC procedures when our customers provide outdated, inaccurate, false or misleading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collect user information during the account opening and registration process and screen accounts against public databases for purpose of verifying customer identity and detecting risks. Although we require our customers to submit documents for proof of their identity and address for completing the account registration and to update such information from time to time, we face risks as the information provided by our customers may be outdated, inaccurate, false or misleading. We cannot fully confirm the accuracy, currency and completeness of such information beyond reasonable effort. For example, some of our customers are holders of the PRC identity card. Because the PRC identity cards are usually effective for more than ten years or some may have no expiration term, customers may have changed their domicile or citizenship, thus making them subject to applicable laws and regulations of jurisdictions other than PRC such as the U.S. In this situation, despite our effort to exclude persons who reside in jurisdictions where we have no license or permit such as the United States before the completion of the acquisition of US Tiger Securities, Inc., our provision of products and services to such customers could be in violation of the applicable laws and regulations in those jurisdictions, of which we may have no awareness until we are warned by the relevant supervising authorities. Despite our safeguards, we could still be subject to certain legal or regulatory sanctions, fines or penalties, financial loss, or damage to reputation resulting from such violations.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although we and our vendors have strict internal policies for continuing KYC procedures after the activation of accounts and for issues such as anti-corruption, economic sanctions, anti-money laundering, export controls and securities fraud, we mainly rely on our continuing KYC procedures to ensure our compliance with relevant laws and regulations related to anti-corruption, economic sanctions, anti-money laundering, export controls and securities fraud. Although we have relevant trainings for our employees, our KYC system and procedures cannot be foolproof. Any potential flaw in our KYC system or any misconduct in the KYC procedures by any of our employees may also lead to our failure of compliance with such relevant laws and regulations, which will further subject us to certain legal or regulatory sanctions, fines or penalties, financial loss, or damage to reputation. Also see Item 3.D “Risk Factors-Risks Related to Our Business and Industry-We face risks related to our status as an anti-money laundering reporting entity in New Zealand and if the Financial Markets Authority finds fault with our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AMLCFT programs and engages in enforcement actions against us, our business and reputation may be adversely affected.”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the profitability of our customers’ investment or ensure that our customers can make rational investment judgement.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Similar to other brokerage and financial services providers, we cannot guarantee the profitability of the investments made or accessed by customers on or through our trading platform or Fund Mall. The profitability of our customers’ investment is directly affected by elements beyond our control, such as economic and political conditions, broad trends in business and finance, changes in volume of securities and futures transactions, changes in the markets in which such transactions occur and changes in how such transactions are processed.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a substantial portion of our customers are retail investors who are less sophisticated compared with institutional investors. We provide a forum to facilitate the provision of financial and market information, and live market commentaries. Although these materials and commentaries contain prominent disclaimers, our customers may seek to hold us responsible when they use such information to make trading decisions and suffer financial loss on their trades, or if their trades are not as profitable as they have expected. Furthermore, it is possible that some customers could solely rely on certain predictive statements made by other customers on our trading platform, ignoring our alert warnings that customers should make their own investment judgement and should not predict future performance based on historical records. As a result, the financial loss of our customers will inevitably affect our performance in terms of transaction volumes and revenues as customers decide to abort trading. In addition, some customers who have suffered substantial losses on our platform may blame our platform, seek to recover their damages from us or bring lawsuits against us.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reputation, or the reputation of our industry as a whole, is harmed, or the reputation of the industry as a whole is damaged, our business, financial condition, results of operations or prospects may be materially and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attract and retain customers may be adversely affected if our reputation, or the reputation of our industry as a whole, is damaged. If we fail, or appear to fail, to deal with issues that may give rise to reputational risk, our business and prospects may be harmed. These issues include, but are not limited to, mishandling customer complaints, potential conflicts of interest, privacy breaches, customer data leak, improper sales practices, as well as failure to identify legal, credit, liquidity, and market risks inherent in our business. Failure to appropriately address these issues could reduce customer confidence in us or increase customer attrition rate, which may adversely affect our reputation and business.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ability to attract and retain customers may be adversely affected if the reputation of the industry as a whole is damaged. The perception of insufficient regulation and unfavorable reputation within the industry could materially and adversely affect our ability to attract and retain customers. Any fraudulent or allegedly fraudulent activities in the securities brokerage industry, which is beyond our control, may damage the reputation of the entire industry and may adversely affect our business operations and reputation.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management as well as experienced and capable personnel, and our business may be adversely affected if we are unable to hire and retain qualified employees.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key management includes our Chief Executive Officer or CEO, Mr. Tianhua Wu and our Chief Financial Officer or CFO, Mr. John Fei Zeng. Our continued success is dependent upon the hire and retention of these key management members, as well as a number of other key managerial, marketing, sales, research, technical and operations personnel, and continuous recruitment of experienced and capable personnel. We do not have key man insurance and the loss of such key personnel could have a material adverse effect on our business. In addition, our ability to grow our business is dependent, to a large degree, on our ability to hire or retain such key management members and experienced personnel. If we lose any of our key management team members or fail to attract and retain professional personnel, we may not be able to execute our existing business strategies effectively or deliver excellent services to our customers, and our business, reputation, financial condition and results of operations could be materially and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exposure to interest rate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part of our business, we invest in interest-earning assets and are obligated on interest-bearing liabilities. Interest rate fluctuations primarily affect our interest income and interest expense. We earn interest income primarily from margin financing and securities borrowing and lending transactions and make interest payments on deposits we hold on behalf of our customers and borrowings provided by Interactive Brokers and other commercial lenders. Changes in interest rates could affect the interest earned on assets differently than interest paid on liabilities. A rising interest rate environment, generally results in a larger net interest spread. Conversely, a falling interest rate environment generally results in a smaller net interest spread. Our most prevalent form of interest rate risk is referred to as “gap” risk. This risk occurs when the interest rates we earn on assets change at a different frequency or scale than the interest rates we pay on liabilities. If we are unable to effectively manage our interest rate risk, changes in interest rates could have a material adverse effect on our profitability. Additionally, if we are not able to secure additional funding in the future from our existing counterparties or others on favorable terms or at all, our financial condition, growth prospects, and results of operations may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brokerage operations have exposure to liquidity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brokerage operations have exposure to liquidity risk. Maintaining adequate liquidity is crucial to our brokerage operations, including key functions such as transaction settlement and margin lending. We are subject to liquidity and capital adequacy requirements in various jurisdictions. Our liquidity needs are primarily met by equity contribution and revenue generation. A reduction of funds available from these sources may require us to seek other potentially more expensive forms of financing, such as potential borrowings on revolving credit facilities. Our liquidity could be constrained if we are unable to obtain financing on acceptable terms, or at all, due to a variety of unforeseen market disruptions. Inability to meet our funding needs in a timely manner would have a material adverse effect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the value of Renminbi could result in foreign currency exchange losses.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substantial portion of our operating costs and expenses is denominated in Renminbi, while most of our revenues are denominated in U.S. dollars. Consequently, fluctuations in exchange rates, primarily those involving U.S. dollar, may affect the relative purchasing power of these proceeds and our balance sheet and earnings per share in U.S. dollars. In addition, appreciation or depreciation in the value of Renminbi relative to U.S. dollar would affect our financial results reported in U.S. dollar terms without giving effect to any underlying change in our business, financial condition or results of operations. Renminbi may appreciate or depreciate significantly in value against U.S. dollar in the long term, depending on the fluctuation of the basket of currencies against which it is currently valued, or it may be permitted to enter into a full float, which may also result in a significant appreciation or depreciation of Renminbi against U.S. dollar.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hedging options available in China to reduce our exposure to exchange rate fluctuations are quite limited.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hedge our exposure adequately or at all. In addition, our currency exchange losses may be magnified by PRC exchange control regulations that restrict our ability to convert Renminbi into foreign currency.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credit risk with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portion of our revenues arises from or is related to margin financing provided to our customers. By permitting customers to purchase securities on margin, we are subject to risks inherent in extending credit, especially during periods of heightened market volatility. Substantial fluctuations in market values of securities and the failure to honor their commitments by our customers on margin financing and securities borrowing and lending transactions could have a material adverse effect on our revenues and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risk which could adversely affect our reputation, business, financial condition and results of operations.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are subject to arbitration claims and lawsuits in the ordinary course of our business. For example, in June 2023 we were the defendant in the securities class action lawsuit filed in the United States District Court for the Central District of California, alleging that our annual report contained misleading statements and material omissions. The </w:t>
      </w:r>
      <w:r>
        <w:rPr>
          <w:rFonts w:ascii="Times New Roman" w:cs="Times New Roman" w:eastAsia="Times New Roman" w:hAnsi="Times New Roman"/>
          <w:sz w:val="18"/>
          <w:szCs w:val="18"/>
          <w:color w:val="0D0D0D"/>
        </w:rPr>
        <w:t>case was subsequently transferred to the United States District Court for the Southern District of New York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D0D0D"/>
        </w:rPr>
        <w:t>(“SDNY”). In July 2024, we filed a motion to dismiss. On March 27, 2025, the court granted our motion to dismiss the securities class action in its entirety, on the grounds that the plaintiff failed to identify any statement we made that were false or misleading, and that our disclosures adeq</w:t>
      </w:r>
      <w:r>
        <w:rPr>
          <w:rFonts w:ascii="Times New Roman" w:cs="Times New Roman" w:eastAsia="Times New Roman" w:hAnsi="Times New Roman"/>
          <w:sz w:val="18"/>
          <w:szCs w:val="18"/>
          <w:color w:val="000000"/>
        </w:rPr>
        <w:t>uately warned</w:t>
      </w:r>
      <w:r>
        <w:rPr>
          <w:rFonts w:ascii="Times New Roman" w:cs="Times New Roman" w:eastAsia="Times New Roman" w:hAnsi="Times New Roman"/>
          <w:sz w:val="18"/>
          <w:szCs w:val="18"/>
          <w:color w:val="0D0D0D"/>
        </w:rPr>
        <w:t xml:space="preserve"> </w:t>
      </w:r>
      <w:r>
        <w:rPr>
          <w:rFonts w:ascii="Times New Roman" w:cs="Times New Roman" w:eastAsia="Times New Roman" w:hAnsi="Times New Roman"/>
          <w:sz w:val="18"/>
          <w:szCs w:val="18"/>
          <w:color w:val="000000"/>
        </w:rPr>
        <w:t xml:space="preserve">investors of the risks and uncertainties of the legal landscape in China. On April 21, 2025, the plaintiff filed a second amended complaint. On July 1, 2025, we submitted a motion to dismiss this action. On March 26, 2026, the court granted our motion to dismiss with prejudice and dismissed the second amended complaint in its entirety. Plaintiffs have thirty days or until April 26, 2026 to appeal on such order. In addition, we have been named as one of the defendants in litigation proceedings relating to IPOs in which we served as underwriters in the course of our underwriting business. We </w:t>
      </w:r>
      <w:r>
        <w:rPr>
          <w:rFonts w:ascii="Times New Roman" w:cs="Times New Roman" w:eastAsia="Times New Roman" w:hAnsi="Times New Roman"/>
          <w:sz w:val="18"/>
          <w:szCs w:val="18"/>
          <w:color w:val="0D0D0D"/>
        </w:rPr>
        <w:t>maintain our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D0D0D"/>
        </w:rPr>
        <w:t xml:space="preserve">position that the complaints in these proceedings lack merit, and we are committed to vigorously defending ourselves. However, it's important to acknowledge </w:t>
      </w:r>
      <w:r>
        <w:rPr>
          <w:rFonts w:ascii="Times New Roman" w:cs="Times New Roman" w:eastAsia="Times New Roman" w:hAnsi="Times New Roman"/>
          <w:sz w:val="18"/>
          <w:szCs w:val="18"/>
          <w:color w:val="000000"/>
        </w:rPr>
        <w:t>that any current or potential future legal actions against us may result in settlements, awards, injunctions, fines, penalties or other adverse</w:t>
      </w:r>
      <w:r>
        <w:rPr>
          <w:rFonts w:ascii="Times New Roman" w:cs="Times New Roman" w:eastAsia="Times New Roman" w:hAnsi="Times New Roman"/>
          <w:sz w:val="18"/>
          <w:szCs w:val="18"/>
          <w:color w:val="0D0D0D"/>
        </w:rPr>
        <w:t xml:space="preserve"> </w:t>
      </w:r>
      <w:r>
        <w:rPr>
          <w:rFonts w:ascii="Times New Roman" w:cs="Times New Roman" w:eastAsia="Times New Roman" w:hAnsi="Times New Roman"/>
          <w:sz w:val="18"/>
          <w:szCs w:val="18"/>
          <w:color w:val="000000"/>
        </w:rPr>
        <w:t>outcome. Predicting the outcome of such matters is inherently difficult, particularly where claims are brought on behalf of various classes of claimants or by a large number of claimants, when claimants seek substantial or unspecified damages or when investigations or legal proceedings are at an early stage. A substantial judgment, settlement, fine or penalty could be material to our operating results or cash flows for a particular period, depending on our results for that period, or could cause us significant reputational harm, which could harm our business prospects. In market downturns, the volume of legal claims and amount of damages sought in litigation and regulatory proceedings against securities brokerage companies have historically increased. We are also subject to litigation claims from third parties alleging infringement of their intellectual property rights. Also see Item 3.D “Risk Factors-Risks Related to Our Business and Industry-We may be subject to intellectual property claims from others and applicable administrative penalties.” Such litigation can require the expenditure of significant resources, regardless of whether the claims have merit. If we were found to have infringed a third-party patent or other intellectual property right, then we could incur substantial liability and in some circumstances could be enjoined from using the relevant technology or providing related products and services, which could have a material adverse effect on our business and results of operations.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require our employees to frequently interact with our existing and potential customers. Although we have prudent internal procedures and policies in place and we monitor employees’ interaction with existing and potential customers through our customer relations management system, or our CRM system, it is difficult to detect and deter misconducts and inappropriate behaviors of all of our employees and the precautions we take to prevent and detect such behaviors may not be effective in all cases. Our employees could misappropriate customer information, conduct improper activities on behalf of our customers, make false or misleading statements, falsely promise investment returns to attract customers to trade, mis-record or otherwise try to hide improper activities from us.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Misconduct by our employees or former employees could give rise to customer claims against us, including claims for negligence, fraud, failures to supervise, breaches of fiduciary duty, transactions and intentional misconduct. These customer claims, regardless of their merits, could subject us to substantial losses and seriously harm our reputation. In addition, such customer claims may escalate into litigations or arbitrations. The outcome of any arbitration or litigation is inherently uncertain, and defending against these claims could be both costly and time-consuming, and could significantly divert the efforts and resources of our management and other personnel. A judgment against us in any such litigation could incur financial and reputation damage on our business. Even if we prevail in such litigation or arbitration, we could incur significant legal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be inadequate to cover risks related to our business and operation.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maintain certain insurance such as professional liability insurance and directors and officers liability insurance for Tiger Brokers (NZ) Limited and certain other subsidiaries, there is no assurance that our insurance coverage will be adequate to cover potential losses. For instance, we do not carry additional policies such as data security insurance, business interruption insurance, or liability insurance covering risks like customer complaints, litigation, or other operational liabilities. As a result, our existing insurance may not adequately protect us from such potential losses and liabilities. In addition, customers of our consolidated accounts are not protected under the scheme of the Securities Investor Protection Corporation, or the SIPC.</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that our insurance coverage is in line with industry practice in the relevant jurisdictions such as New Zealand, the United States, Singapore and China, if any of the incidents mentioned above occurs and we do not have sufficient insurance to cover the liabilities associated with such incidents, it could have a material adverse effect on our financial condition, results of operations and business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customers reach us on social media platforms, leading to our difficulties in maintaining all required communication records.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relevant laws and regulations, we are required to keep the records of our communications with customers concerning orders or complaints. To ensure all of our users and customers are best served, we occasionally provide customer service on popular social media platforms in a similar way as other market players in both our industry and other various industries. However, we cannot solve all the difficulties arising therefrom because the social media platforms usually do not have functions that telephone or email operation systems use for keeping the communication records long term. Non-compliance with these requirements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lines of business or new services may subject us to additional risks.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From time to time, we may implement new lines of business or offer new services within existing lines of business. For example, we commenced futures trading in March 2016 and our IPO underwriting business experienced significant growth in 2021. In addition, we have been granted a BVI trustee license and working on operational setup to offer a wider selection of trust services. There are substantial risks and uncertainties associated with these efforts, particularly in instances where the markets are not fully developed. In developing and marketing new lines of business and/or new services, we may invest significant time and resources. Initial timetables for the introduction and development of new lines of business and/or new services may not be achieved and profitability targets may not prove feasible. External factors, such as compliance with regulations, competition and shifting market preferences, may also impact the successful implementation of a new line of business or a new service. Our personnel and technology systems may fail to adapt to the changes in such new areas or we may fail to effectively integrate new services into our existing operation and we may lack experience in managing new lines of business or new services. In addition, we may be unable to proceed our operation as planned or compete effectively due to different competitive landscapes in these new areas. Even if we expand our businesses into new jurisdictions or areas, the expansion may not yield intended profitable results. Any new line of business and/or new service could have a significant impact on the effectiveness of our internal control system. Furthermore, expansion of our existing lines of business and entry into new lines of business may expose us to additional litigation risk, including the risk of class-action litigation. Failure to successfully manage these risks in the development and implementation of new lines of business or new services could have a material adverse effect on our business, results of operations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 the process of expanding our international operations, which exposes us to significant risks.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growth strategy includes expanding our international services and customer base. Expansion into new markets will require significant management attention and financial resources worldwide. Additionally, we will be exposed to additional regulatory, operational, market, litigation, and publicity risks. In addition to those risks described under the heading “Any future change in the regulatory and legal regime for the securities brokerage industry may have a significant impact on our business model,” we will be exposed to additional risks as a result of doing business internationally, including:</w:t>
      </w:r>
    </w:p>
    <w:p>
      <w:pPr>
        <w:spacing w:after="0" w:line="180" w:lineRule="exact"/>
        <w:rPr>
          <w:sz w:val="20"/>
          <w:szCs w:val="20"/>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managing and staffing international operations and the increased operations, travel, infrastructure and legal compliance costs associated with numerous international locations;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our corporate culture resulting from a dispersed workforce;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complying with a wider array of regulatory requirements, including without limitation regulations relating to currency and capital, transfers of funds, taxation, privacy and protection of customer data, broker-dealer requirements, and intellectual property;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various anti-bribery and anti-corruption laws such as the Foreign Corrupt Practices Act of 1977, or FCPA;</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developments, including unrest or economic instability, in a specific country or region in which we operate, which could have an adverse impact on our operations in that location.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failure to manage any of these risks successfully could harm our planned international expansion and adversely affect our business, operating results and financial condition.</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develop our margin financing and securities lending business as expected and may be exposed to credit risks related to these businesses. In addition, we need adequate funding at reasonable costs to successfully operate our margin financing business, and access to adequate funding at reasonable costs cannot be assured.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margin financing and securities lending businesses may not develop as expected if clients fail to perform contractual obligations or the value of collateral held to secure the obligations is inadequate. We have adopted comprehensive internal policies and procedures designed to manage such risks. For example, once the margin value falls below the outstanding amount of the relevant loan extended as a result of a market downturn or adverse movement in the prices of the pledged securities, we will make a margin call requesting the client to deposit additional funds, sell securities or pledge additional securities to top up their margin value. If the client’s margin value still falls below the required standard, we will initiate our liquidation protection mechanism on a real-time basis to bring the client’s account into margin compliance. Nevertheless, we cannot assure you that we will not be exposed to any credit risks associated with our margin financing and securities lending businesses, and we may experience disputes with our clients after we make the margin calls. In particular, we may not always be able to fully recover the margin value through margin calls and our exposure to credit loss may be exacerbated during periods of high market volatility.</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the growth and success of our margin financing business depend on the availability of adequate funding to meet our client demand for loans through our platform. We provided margin financing service for securities listed on the Hong Kong Stock Exchange, Singapore Exchange and the major stock exchanges in the U.S., and we provided securities lending services for securities listed on the Hong Kong Stock Exchange and the major stock exchanges in the U.S. We derive the funding for our margin financing business from a variety of sources, including funding secured from commercial banks, other licensed financial institutions and other parties as well as financing generated from our business operations. To the extent there is insufficient funding from institutional funding partners who are willing to accept the credit risk related to the collateral from our clients, the funds available for our margin financing business might be limited and our ability to provide margin financing services to our clients to address their demand for loans would be adversely impacted. In addition, as we strive to offer our clients competitively priced services and the online brokerage market is intensely competitive, we may attempt to further reduce our interest expense from our funding partners. If we cannot continue to maintain our relationship with these funding partners and obtain adequate funding at reasonable costs, we may not be able to continue to offer or grow our margin financing business. To the extent that our funding partners find the risk-adjusted returns with us less attractive, we may not be able to obtain the requisite level of funding at reasonable costs, or at all. If we are unable to provide our clients with margin loans or fund the loans on a timely basis due to insufficient funding or less favorable pricing compared to those of our competitors, it would harm our business, financial condition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wealth management products that we offer involve various risks and failure to identify or fully appreciate such risks may negatively affect our reputation, client relationships, results of operations and financial conditions. In addition, we rely on a limited number of wealth management product providers.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our clients access to money market, fixed income, equity, balanced, private funds as well as bonds, catering to different investment targets and risk preferences of our clients. These products often have complex structures and involve various risks, including default risks, interest risks, liquidity risks, market risks, counterparty risks, fraud risks and other risks. In addition, we are subject to regulations in relation to wealth management products offering in different jurisdictions, and there is no assurance that our operation will be deemed as in full compliance with such regulations at all times.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in offering our wealth management products and services depends, in part, on our ability to successfully identify the risks associated with such products and services, and failure to identify or fully appreciate such risks may negatively affect our reputation, client relationships, results of operations and financial conditions. Although we do not guarantee the principal or the return of the wealth management products available through our platform and do not bear any liabilities for any loss to capital invested in the products, we must be cautious of the selection of the financial products we offer and must accurately describe the risks associated with those products for our clients. Although we enforce and implement strict risk management policies and procedures, such risk management policies and procedures may not be fully effective in mitigating the risk exposure for all of our clients in all market environments or covering all types of risks. If we fail to identify and fully appreciate the risks associated with the financial products we offer, or fail to disclose such risks to our clients, or if our clients suffer financial losses or other damages resulting from the financial products we offer, our reputation, client relationships, results of operations and financial conditions will be materially and adversely affected.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a number of third parties who provide us with wealth management products, and our relationships with these product providers are integral to the smooth operation of our wealth management business. If our relationships with third-party service providers deteriorate or third-party service providers decide to terminate our respective business relationships for any reasons, such as to work with our competitors on more exclusive or favorable terms or if they themselves become our competitors, our operation may be disrupted.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subject to transfer pricing adjustments by competent authorities.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transfer pricing arrangements to account for business activities among our subsidiaries in different jurisdictions. There is no assurance that the tax authorities in any of the jurisdictions where we operate would not subsequently challenge the appropriateness of our transfer pricing arrangements or that the relevant regulations or standards governing such arrangements will not be subject to future changes. If a competent tax authority later finds that the transfer prices and the terms that we have applied are not appropriate, such authority may require us or our subsidiaries to re-assess the transfer prices and re-allocate the income or adjust the taxable income. Any such reallocation or adjustment could result in a higher overall tax liability for us and may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effectively manage our rapid growth.</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rapid growth of our business during our limited operation history has placed significant demands on our management and other resources. As we grow, we may also need to enhance the reliability and scalability of our proprietary technology, network infrastructure and other aspects of our IT systems. We may need to hire additional professionals in such areas as sales and marketing, customer support and risk management as well as other personnel to serve the enlarged customer base. Implementation of new business arrangements, expansion of technology infrastructure and increase in the number of employees may further increase our operational complexity and impose higher standards on every aspect of our operations. Our management team may fail to effectively cope with the increased operational complexity, and we may fail to integrate new resources into our existing operation system. Therefore, we may not be able to maintain current growth rate or manage our growth effectively.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terrorist attacks and other outbreaks, which could significantly disrupt our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occurrence, especially in the regions and cities where we have business, of unforeseen or catastrophic events, including the emergence of a pandemic such as widespread health emergencies, terrorist attacks or natural disasters, could create economic and financial disruptions, lead to operational difficulties that could impair our ability to manage our businesses, and expose our business activities to significant losses. Our management team are principally located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Beijing, China; Hong Kong, China; Auckland, New Zealand; the United States and Singapore. A significant portion of our technical research and development, customer service, support teams are based in Beijing, China. Most of our data centers are located in Hong Kong and Beijing, China. Although we have recovery and business continuity plans for our data centers, we cannot guarantee that these plans would be adequate to mitigate the adverse effects to our sustainable operations caused by such unforeseen or catastrophic events. In addition, the major stock exchanges our operations rely on are in the U.S. and Hong Kong. Our operations could also be severely disrupted if the exchanges we operate on were affected by natural disasters, health epidemics or man-caused disasters. An unforeseen or catastrophic event in any of the regions mentioned above could adversely impact our operations.</w:t>
      </w:r>
    </w:p>
    <w:p>
      <w:pPr>
        <w:spacing w:after="0" w:line="183" w:lineRule="exact"/>
        <w:rPr>
          <w:sz w:val="20"/>
          <w:szCs w:val="20"/>
          <w:color w:val="auto"/>
        </w:rPr>
      </w:pPr>
    </w:p>
    <w:p>
      <w:pPr>
        <w:jc w:val="both"/>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cash flows and financial condition could be affected by the effects of climate change, including severe weather and other geological events in the locations where our customers, suppliers or regulators operate.</w:t>
      </w:r>
    </w:p>
    <w:p>
      <w:pPr>
        <w:spacing w:after="0" w:line="159"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18"/>
          <w:szCs w:val="18"/>
          <w:color w:val="auto"/>
        </w:rPr>
        <w:t>Climate change may cause severe and volatile weather and other geological events, including hurricanes, earthquakes, wildfires, rising sea levels, floods, increased heat index, droughts, or tsunamis, that could disrupt our operations or the operations of our customers, suppliers, data service providers and regulators. The frequency and severity of these events may increase over time. Natural disasters or other disruptions at any of our facilities or our suppliers’ facilities, may impair or delay the operation, development, provisions or delivery of our products and services. Additionally, disruptions experienced by our regulators due to natural disasters or otherwise could delay our introduction of new products or entry into new jurisdictions where regulatory approval is necessary. While we insure against certain business interruption risks, we cannot assure that such insurance will compensate us for any losses incurred as a result of natural or other disasters. We also cannot provide assurance that we will be able to obtain sufficient insurance to protect our business from these risks at a favorable price or at all. Any serious disruption to our operations, or those of our customers, suppliers, data service providers, or regulators, could have a material adverse effect on our results of operations, cash flows and financial condition.</w:t>
      </w:r>
    </w:p>
    <w:p>
      <w:pPr>
        <w:spacing w:after="0" w:line="188"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Climate change may also have a negative impact on the financial condition of our customers, which may decrease revenues from those customers and increase the credit exposures to those customers. This effect would be amplified if a region in which a large number of our customers are based is affected. Additionally, our reputation and customer relationships may be negatively impacted by our involvement, or our customers’ involvement, in certain industries or projects associated with causing or exacerbating climate change, as well as any decisions we make to continue to conduct or change our activities in response to considerations relating to climate change. New regulations or guidance relating to climate change, as well as the perspectives of shareholders, employees and other stakeholders regarding climate change, may affect whether and on what terms and conditions we engage in certain activities or offer certain products.</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Additionally, transitioning to a low-carbon economy will likely require extensive policy, legal, technology and market changes. Transition risks, including changes in consumer preferences and additional regulatory and legislative requirements, including carbon taxes, could increase our expenses and adversely impact our strategies and those of our customers, which could lead to a decrease in our customer account balances.</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long-term effects of climate change on the global economy and our operations in particular are unclear. Environmental regulations or changes in the supply, demand or available sources of energy or other resources may affect the availability, cost, or demand for goods and services and may increase the costs of our supplies, power and other infrastructure services on which we rely to operate.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media coverage related to, and our relationships with, our service providers and/or former shareholders could adversely affect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be affected by publicity relating to our service providers and/or shareholders. For example, in September 2018, there was negative publicity involving certain senior officers of iResearch, the industry consultant we commissioned to prepare an industry report in connection with our initial public offering. According to a public announcement made by iResearch, certain senior officers of iResearch are cooperating with governmental investigations in China. Although we were informed by iResearch that its department involved in such negative media coverage did not provide data for the preparation of the iResearch Report, such publicity may raise questions as to the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integrity of the industry data or opinions produced by iResearch, including the data in the iResearch Report produced in connection with our initial public offering, or otherwise have a negative impact on our reputation.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and regulatory tensions between the U.S. and China, and on a larger scale internationally, may dampen growth in China and other markets where the majority of our customers reside, and our activities and results may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2018, the U.S. government began imposing new or higher tariffs on specified products imported from China to penalize China for what it characterizes as unfair trade practices, and China responded by imposing new or higher tariffs on specified products imported from the U.S. While the U.S. and China signed an agreement in January 2020 to ease some of these tariffs, others remain in place, and additional tariffs or other regulatory requirements or restrictions could be imposed by one or both countries in the future. In 2025, the trade tensions have escalated with the U.S. announcing new tariff increases on imports from nearly all economies, including heightened rates on Chinese imports. China has implemented reciprocal tariff measures in responses. Further reciprocal tariff increases by both sides remain possible. Although we are not currently subject to the existing tariff measures, such tariffs, future tariffs, or other regulatory actions may adversely affect the economic growth in China and other markets and the financial condition of our customers. In addition, the recent escalation in reciprocal tariff increases has contributed to heightened equity market volatility and downward pressure on global indices, which may result in trading volume contraction, asset valuation decline, and eventually adversely affect our brokerage business. Any potential decrease in the spending powers of our target customers could result in a negative impact on our operations. In addition, the current and future actions or escalations by either the U.S. or China that affect trade relations may cause global economic turmoil and potentially have a negative impact on our business, financial condition and results of operations, and we cannot provide any assurance as to whether such actions will occur or the form that they may take.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economic, political and social conditions as well as government policies could adversely affect our business and prospects.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mainly conduct our brokerage operations in New Zealand, Singapore, Hong Kong and the United States and conduct technology research and development in China through our PRC subsidiaries, the VIEs and their subsidiaries. Because technology development is our key backbone for our operations in a long run, our financial condition and results of operations are subject to influences from PRC’s economic, political and social conditions to a great extent. The PRC economy differs from the economies of most developed countries in many aspects, including, but not limited to, the degree of government involvement, control of capital investment, control of foreign exchange, allocation of resources, growth rate and development level.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approximately three decades, the PRC government has implemented economic reform measures to utilize market forces in the development of the PRC economy. We cannot predict whether changes in the PRC’s economic, political and social conditions and in its laws, regulations and policies will have any adverse effect on our current or future business, financial condition or results of operations. In addition, many of the economic reforms carried out by the PRC government are unprecedented or experimental and are expected to be refined and improved over time. This refining and improving process may not necessarily have a positive effect on our operations and business development.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penalties for failure to fully comply with the NDRC and the MOFCOM filing requirements for historical overseas investments.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before we established our offshore holding structure, our PRC operating entity, Beijing Rongke, had established Tiger Technology Corporation Limited, or Tiger Technology, in Hong Kong, which thereafter acquired our New Zealand registered companies, Tiger Brokers (NZ) Limited, and Tiger Holdings Group Limited, or Tiger Holdings. Under the applicable PRC laws and regulations, PRC entities need to obtain approvals from or file with the National Development and Reform Commission, or the NDRC and the Ministry of Commerce, or the MOFCOM, or their local branches before conducting any overseas investments, and are also required to apply for additional approvals or file or make certain amendments if any change occurs to such overseas investments. Beijing Rongke has filed with the relevant branch of the MOFCOM for investing in Tiger Technology, but failed to update such filing for Tiger Technology’s further investments in Tiger Brokers (NZ) Limited and Tiger Holdings. It also failed to file with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NDRC for the overseas investment as required under then effective PRC laws. Failure to conduct such filing procedures may subject us to an order of suspension of Beijing Rongke’s investment in Tiger Technology, and may result in the inability for Beijing Rongke to enjoy relevant policy favors for three years. As of the date of this report, we have not received any rectification requirements or penalties from the NDRC or the MOFCOM. In addition, we took certain rectification measures. For instance, we transferred all equity interest in Tiger Brokers (NZ) Limited from Tiger Technology to our Singapore subsidiary, Tiger Fintech (Singapore) Pte. Ltd. for commercial needs, and we de-registered our filing with MOFCOM. However, we cannot assure you that these rectifications will fully satisfy the relevant regulatory authorities’ requirements or we will not be subject to investigation or scrutiny from regulators even though we had not yet received any negative opinion or penalty for our historical overseas investments so far. If the NDRC or the MOFCOM imposes any penalties on us or requires us to make any further rectifications, our business and results of operations may be materially and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enforcement of the Labor Contract Law of the People’s Republic of China, or the PRC Labor Contract Law, and other labor-related regulations in the PRC may increase our labor costs and impose limitations on our labor practices.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29, 2007, the Standing Committee of the National People’s Congress, or the SCNPC, in China enacted the PRC Labor Contract Law, which became effective on January 1, 2008 and was amended on December 28, 2012. The PRC Labor Contract Law introduces specific provisions related to fixed-term employment contracts, part-time employment, probation, consultation with labor unions and employee assemblies, employment without a written contract, dismissal of employees, severance, and collective bargaining, which together represent enhanced enforcement of labor laws and regulations. According to the PRC Labor Contract Law, an employer is obliged to sign an unfixed-term labor contract with any employee who has worked for the employer for 10 consecutive years. Further, if an employee requests or agrees to renew a fixed-term labor contract that has already been entered into twice consecutively, the resulting contract must have an unfixed term, subject to certain exceptions. The employer must pay economic compensation to an employee where a labor contract is terminated or expires in accordance with the PRC Labor Contract Law, except for certain situations which are specifically regulated. In addition, the government has issued various labor-related regulations to further protect the rights of employees. According to such laws and regulations, employees are entitled to an annual leave ranging from 5 to 15 days and are able to be compensated for any untaken annual leave days due to the employer’s reason in the amount of three times of their daily salary.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these regulations, which are designed to enhance labor protection, we expect our labor costs to increase, as the continued success of our business depends significantly on our ability to attract and retain qualified personnel. In the event that we decide to change our employment or labor practices, the PRC Labor Contract Law and its implementation rules may also limit our ability to affect those changes in a manner that we believe to be cost-effective. In addition, as the interpretation and implementation of these new regulations are still evolving, our employment practices may not be at all times deemed in compliance with the new regulations. If we are subject to severe penalties or incur significant liabilities in connection with labor disputes or investigations, our business and financial condition may be adversely affected.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on December 28, 2012, the PRC Labor Contract Law was amended to impose more stringent requirements on labor dispatches, and such amendments became effective on July 1, 2013. For example, the number of dispatched contract workers that an employer hires may not exceed a certain percentage of the total number of employees to be decided by the Ministry of Human Resources and Social Security, and the dispatched contract workers can only engage in temporary, auxiliary or substitute work. According to the </w:t>
      </w:r>
      <w:r>
        <w:rPr>
          <w:rFonts w:ascii="Times New Roman" w:cs="Times New Roman" w:eastAsia="Times New Roman" w:hAnsi="Times New Roman"/>
          <w:sz w:val="18"/>
          <w:szCs w:val="18"/>
          <w:i w:val="1"/>
          <w:iCs w:val="1"/>
          <w:color w:val="auto"/>
        </w:rPr>
        <w:t>Interim Provisions on Labor Dispatch</w:t>
      </w:r>
      <w:r>
        <w:rPr>
          <w:rFonts w:ascii="Times New Roman" w:cs="Times New Roman" w:eastAsia="Times New Roman" w:hAnsi="Times New Roman"/>
          <w:sz w:val="18"/>
          <w:szCs w:val="18"/>
          <w:color w:val="auto"/>
        </w:rPr>
        <w:t>, or the Interim Provisions, promulgated by the Ministry of Human Resources and Social Security on January 24, 2014, which became effective on March 1, 2014, the number of dispatched contract workers hired by an employer shall not exceed 10% of the total number of its employees (including both directly hired employees and dispatched contract workers). The Interim Provisions further requires the employer that is not in compliance with the above provisions to formulate a plan to reduce the number of its dispatched contract workers to below 10% of the total number of its employees prior to March 1, 2016. Such limitations on use of dispatched labor may increase our labor costs and impose limitations on our employment practices, which may adversely affect our business and profitability.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make adequate contributions to various employee benefit plans as required by the PRC regulations may subject us to penalties.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Companies operating in China are required to participate in various government-sponsored employee benefit plans, including certain social insurances,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Our PRC operating entities incorporated in various locations in China have not made adequate employee benefit payments and we have recorded accruals for estimated underpaid amounts in our financial statements. We may be required to make up the contributions for these plans as well as to pay late fees and fines.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Regulators may impose penalties and fines with respect to shortfall in social insurance payment. A late payment fee at the rate of 0.05% per day of the outstanding amount from the due date may be imposed, and if such amounts remain outstanding beyond a prescribed time limit, a fine of one to three times of the outstanding amount may be imposed. While there are no explicit quantitative statutory fines or penalties on late payments of housing funds according to Regulations on the Housing Provident Fund (Revised in 2019), the housing accumulation fund management center may order us to pay any housing fund shortfalls immediately. In addition, if we become subject to any fines or penalties in relation to the underpaid employee benefits, our financial condition and results of operations may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share incentive plans may subject the PRC plan participants or us to fines and other legal or administrative sanctions.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Notice on Issues Concerning the Foreign Exchange Administration for Domestic Individuals Participating in Stock Incentive 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Overseas Publicly Listed Company</w:t>
      </w:r>
      <w:r>
        <w:rPr>
          <w:rFonts w:ascii="Times New Roman" w:cs="Times New Roman" w:eastAsia="Times New Roman" w:hAnsi="Times New Roman"/>
          <w:sz w:val="18"/>
          <w:szCs w:val="18"/>
          <w:color w:val="auto"/>
        </w:rPr>
        <w:t>, issued by the SAFE in February 2012, employees, directors, supervisors and other senior management participating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stock incentive plan of an overseas publicly listed company who are PRC citizens or who are non-PRC citizens residing in China for a continuous period of not less than one year, subject to a few exceptions, are required to register with the SAFE through a domestic qualified agent, which could be a PRC subsidiary of such overseas listed company, and complete certain other procedures. We and our directors, executive officers and other employees who are PRC citizens or who reside in the PRC for a continuous period of not less than one year and who have been granted restricted shares, restricted share units or options became subject to these regulations since our company became an overseas listed company. Failure to complete the SAFE registrations may subject them to fines and legal sanctions and may also limit our ability to contribute additional capital into our wholly foreign-owned subsidiaries in China. We also face regulatory uncertainties that could restrict our ability to adopt additional incentive plans for our directors and employees under PRC law.</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State Administration of Taxation, or the SAT, has issued certain circulars concerning employee share options or restricted shares. Under these circulars, the employees working in the PRC who exercise share options or are granted restricted share units will be subject to PRC individual income tax. The PRC subsidiaries of such an overseas listed company have obligations to file documents related to employee share options or restricted shares with relevant tax authorities and to withhold individual income taxes of those employees who exercise their share options. If the employees fail to pay or the PRC subsidiaries fail to withhold their income taxes in compliance with relevant laws and regulations, the PRC subsidiaries may face sanctions imposed by the tax authorities or other PRC government authorities.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deemed to be a PRC resident enterprise under the Enterprise Income Tax Law, or the EIT Law, and be subject to the PRC taxation on our worldwide income, which may significantly increase our income tax expenses and materially decrease our profitability.</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the EIT Law that took effect on January 1, 2008, enterprises established outside of China whose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bodies” are located in China may be considered PRC tax resident enterprises for tax purposes and may be subject to a uniform 25% corporate income tax on their global income (excluding dividends received from “resident enterprises”). In addition, the Notice Regarding the Determination of Chinese-Controlled Offshore-Incorporated Enterprises as PRC Tax Resident Enterprises on the Basis of De Facto Management Bodies, or Circular 82, which was issued by SAT on April 22, 2009 and most recently amended on December 29, 2017 sets out certain standards for determining whether the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of an offshore enterprise controlled by a PRC enterprise is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located in China. Although the Circular 82 applies only to offshore enterprises controlled by PRC enterprises, rather than those controlled by Chinese or foreign individuals or foreign enterprises (such as our company), the determining criteria set forth in the Circular 82 may reflect SAT’s general position on how the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test should be applied in determining the tax resident status of offshore enterprises, regardless of how they are controlled by PRC enterprises. Although our company is not controlled by a PRC enterprise, substantial uncertainties remain as to whether our company or any of our other non-PRC entities will be deemed a PRC resident enterprise for the EIT purposes. If we or any of our subsidiaries registered outside the PRC are to be deemed a “resident enterprise” under the EIT Law, our income tax expenses may increase significantly, and our profitability could decrease materially.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February 3, 2015, the SAT issued the </w:t>
      </w:r>
      <w:r>
        <w:rPr>
          <w:rFonts w:ascii="Times New Roman" w:cs="Times New Roman" w:eastAsia="Times New Roman" w:hAnsi="Times New Roman"/>
          <w:sz w:val="18"/>
          <w:szCs w:val="18"/>
          <w:i w:val="1"/>
          <w:iCs w:val="1"/>
          <w:color w:val="auto"/>
        </w:rPr>
        <w:t>Circular on issues of enterprise Income Tax on Indirect Transfer of Assets by Non-PRC Resident Enterprise</w:t>
      </w:r>
      <w:r>
        <w:rPr>
          <w:rFonts w:ascii="Times New Roman" w:cs="Times New Roman" w:eastAsia="Times New Roman" w:hAnsi="Times New Roman"/>
          <w:sz w:val="18"/>
          <w:szCs w:val="18"/>
          <w:color w:val="auto"/>
        </w:rPr>
        <w:t>, or the SAT Circular 7 pursuant to which if a non-resident enterprise transfers the equity interests of a PRC resident enterprise indirectly by transfer of the equity interests of an offshore holding company (other than prescribed exempted situations including the purchase and sale of shares in public securities market) without a reasonable commercial purpose, the PRC tax authorities have the power to reassess the nature of the transaction and the indirect equity transfer might be treated as a direct transfer. As a result, the gain derived from such transfer, that is attributable to the PRC taxable properties will be subject to the PRC withholding tax at a rate of 10%. Under the SAT Circular 7, the transfer which meets all of the following circumstances shall be deemed as having no reasonable commercial purpose: (i) over 75% of the value of the equity interests of the offshore holding company are directly or indirectly derived from PRC taxable properties; (ii) at any time during the year before the indirect transfer, over 90% of the total properties of the offshore holding company are directly or indirectly constituted by investments within PRC territory, or in the year before the indirect transfer, over 90% of the offshore holding company’s total income is directly or indirectly derived from within PRC territory; (iii) the function performed and risks assumed by the offshore holding company and its subsidiaries that directly or indirectly hold PRC taxable properties are insufficient to substantiate its economic substance; or (iv) the foreign income tax imposed on the indirect transfer is lower than the PRC tax that may be imposed in the event of a direct transfer of the PRC taxable properties.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SAT Circular 7 and its interpretation by relevant PRC authorities clarify that an exemption is available for transfers of shares in a publicly-traded entity that is listed overseas if the purchase of the shares and the sale of the shares both take place in the open market. However, if a shareholder of an entity that is listed overseas purchases shares in the open market and sells them in a private transaction, or purchases shares in a private transaction and sells them in the open market, the PRC tax authorities might deem such a transfer to be subject to the SAT Circular 7, which could subject such shareholder to additional reporting obligations or tax burdens. Accordingly, if a holder of our shares or ADSs purchases our shares or ADSs in the open market and sells them in a private transaction, or purchases our shares or ADSs in a private transaction and sells them in the open market, and fails to comply with the SAT Circular 7, the PRC tax authorities may take actions, including requesting us to provide assistance for their investigation or impose a penalty on us, which could have a negative impact on our business operations. In addition, since we may pursue acquisitions as one of our growth strategies, and may conduct acquisitions involving complex corporate structures, the PRC tax authorities might impose taxes on capital gains or request that we submit certain additional documentation for their review in connection with any potential acquisitions, which may incur additional acquisition costs, or delay our acquisition timetable.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PRC tax authorities have discretion under the SAT Circular 7 to make adjustments to the taxable capital gains based on the difference between the fair value of the equity interests transferred and the cost of investment. We may pursue acquisitions in the future that involve complex corporate structures. If we are considered a non-resident enterprise under the EIT Law and if the PRC tax authorities make adjustments to the taxable income of these transactions under the SAT Circular 7, our income tax expenses associated with such potential acquisitions will be increased, which may have an adverse effect on our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leased property interest may be defective and our right to lease the properties may be affected by such defects, which could cause significant disruption to our business.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applicable PRC laws and regulations, all lease agreements are required to be registered with the local housing authorities. The landlords of certain of our leased premises in China may have not completed the registration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their ownership rights or our leases with the relevant authorities. Failure to complete these required registrations may expose our landlords, lessors and us to potential monetary fines. If these registrations are not obtained in a timely manner, or at all, we may be subject to monetary fines or may have to relocate our offices, which will incur the associated losses and adversely affect our normal business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late 2012, the SEC commenced administrative proceedings under Rule 102(e) of its Rules of Practice and also under the Sarbanes-Oxley Act of 2002 against the mainland Chinese affiliates of the “Big Four” accounting firms (including the mainland Chinese affiliate of our independent registered public accounting firm). A first instance trial of the proceedings in July 2013 in the SEC’s internal administrative court resulted in an adverse judgment against the firms. The administrative law judge proposed penalties on the Chinese accounting firms including a temporary suspension of their right to practice before the SEC, although that proposed penalty did not take effect pending review by the Commissioners of the SEC. On February 6, 2015, the four China-based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Under the terms of the settlement, the underlying proceeding against the four China-based accounting firms was deemed dismissed with prejudice four years after entry of the settlement. The four-year mark occurred on February 6, 2019.</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2022, the PCAOB announced that it signed a Statement of Protocol with the CSRC and the Ministry of Finance, which it described as the first step toward opening access for the PCAOB to inspect and investigate completely registered public accounting firms in mainland China and Hong Kong and subsequently vacated its 2021 determination that the positions taken by authorities in mainland China and Hong Kong prevented it from inspecting and investigating completely registered public accounting firms headquartered in those jurisdictions. Under the settlement, the SEC accepted that future requests by the SEC for the production of documents would normally be made to the CSRC. The Chinese accounting firms would receive requests matching those under Section 106 of the Sarbanes-Oxley Act of 2002, and would be required to abide by a detailed set of procedures with respect to such requests, which in substance would require them to facilitate production via the CSRC. The CSRC for its part initiated a procedure whereby, under its supervision and subject to its approval, requested classes of documents held by the accounting firms could be sanitized of problematic and sensitive content so as to render them capable of being made available by the CSRC to U.S. regulators.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view of the PCAOB’s decision to vacate its 2021 determination and until such time as the PCAOB issues any new adverse determination, the SEC has stated that there are no issuers at risk of having their securities subject to a trading prohibition under the HFCAA. However, whether the PCAOB will continue to be able to satisfactorily conduct inspections of PCAOB-registered public accounting firms headquartered in mainland China and Hong Kong is subject to uncertainty and depends on a number of factors out of our control. We cannot predict whether, in cases where the CSRC does not authorize production of requested documents to the SEC, the SEC will further challenge the four PRC-based accounting firms’ compliance with U.S. law. If additional challenges are imposed on the Chinese affiliates of the “big four” accounting firms, we could be unable to timely file future financial statements in compliance with the requirements of the Exchange Act.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the SEC restarts the administrative proceedings,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any such future proceedings against these accounting firms may cause investor uncertainty regarding China-based, United States-listed companies and the market price of our ADSs may be adversely affected.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Chinese affiliate of our independent registered public accounting firms was denied, even temporarily, the ability to practice before the SEC and we were unable to timely find another registered public accounting firms to audit and issue an opinion on our financial statements, our financial statements could be determined not to be in compliance with the requirements of the Exchange Act. Such a determination could ultimately lead to the delisting of our ADSs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the Nasdaq Global Select Market or deregistration from the SEC, or both, which would substantially reduce or effectively terminate the trading of our ADSs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Class A Ordinary Shares and ADSs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prices of our ADSs are likely to be volatile, which could result in substantial losses to investors.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trading prices of our ADSs have been and are likely to continue to be volatile and have fluctuated and may continue to fluctuate widely due to factors beyond our control. This may happen because of broad market and industry factors, like the performance and fluctuation in the market prices or the underperformance or deteriorating financial results of other similarly situated companies that have listed their securities in the U.S. in recent years. The securities of some of these companies have experienced significant volatility since their initial public offerings, including, in some cases, substantial price declines in the trading prices of their securities. The trading performances of these companies’ securities after their offerings may affect the attitudes of investors toward such companies listed in the United States, which consequently may affect the trading performance of our ADSs, regardless of our actual operating performance. In addition, securities markets may from time to time experience significant price and volume fluctuations that are not related to our operating performance, such as the large decline in share prices in the United States and other jurisdictions. For example, historically the coronavirus pandemic and the volatility in oil prices had a significant negative impact on securities market prices and contributed to increased volatility. These and other factors may continue to affect the broader securities markets and, consequently, our business and results of operations.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for our ADSs may be highly volatile for factors specific to our own operations, including the following:</w:t>
      </w:r>
    </w:p>
    <w:p>
      <w:pPr>
        <w:spacing w:after="0" w:line="162"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earnings and cash flow;</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 and service offerings, investments, acquisitions, strategic partnerships, joint ventures, or capital commitments by us or our competitors;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performance or market valuation of our company or our competitors;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number of our users and customers;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metrics;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on our part to realize monetization opportunities as expected;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our key management and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competitors or our industry;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regarding governmental or regulatory developments or focus that may affect our industry or us specifically;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affecting us or our industry;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litigations or regulatory investigations.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trading volume and the price at which our ADSs will trade. In the past, shareholders of a public company often brought securities class action suits against the listed company following periods of instability in the market price of that company’s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grant additional employee share options and other share-based compensation awards in the future. Any additional grant of employee share options and other share-based compensation awards in the future may have a material adverse effect on our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and may adopt employee share option plans for the purpose of granting share-based compensation awards to our employees, officers, directors and other eligible persons to incentivize their performance and align their interests with ours. For more information on these share incentive plans, see Item 6. B “Compensation-2018 Share Incentive Plan” and “-2019 Performance Incentive Plan.” As a result of these grants and potential future grants, we expect to continue to incur significant share-based compensation expenses in the future. The amount of these expenses is based on the fair value of the share-based awards. We account for compensation costs for all share options using a fair-value-based method and recognize expenses in our combined and consolidated statements of comprehensive income and other comprehensive income in accordance with U.S. GAAP. The expenses associated with share-based compensation will decrease our profitability, perhaps materially, and the additional awards issued under share-based compensation plans will dilute the ownership interests of our shareholders, including holders of our ADSs. However, if we limit the scope of our share-based compensation plan, we may not be able to attract or retain key personnel who expect to be compensated by such share-based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investors may experience dilution if we issue additional shares or ADSs.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 the past issued additional equity or securities convertible into equity, and we may do so again in the future. In 2021 we offered and sold an aggregate of US$155.0 million principal amount of convertible notes. In March and April 2026, we fully repaid the principal of US$100.0 million and the accumulated interest of the convertible notes. The residual remains potentially convertible into our ADSs. Additionally, in 2024, we completed our follow-on public offering of 17,250,000 of our ADSs, at a public offering price of US$6.25 per ADS, each representing 15 of our Class A ordinary shares. The issuance of additional equity, including pursuant to the conversion of our outstanding convertible notes, would result in further dilution to our shareholders and may result in a decline in the market value of our ADSs.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being a public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legal, accounting and other expenses as a result of our becoming a public company. The Sarbanes-Oxley Act, as well as rules subsequently implemented by the SEC and Nasdaq, imposes various requirements on the corporate governance practices of public companies. These rules and regulations increase our legal and financial compliance costs and make some corporate activities more time-consuming and costly. Additionally, now that we are no longer an “emerging growth company,” we have incurred and expect to incur significant expenses and devote substantial management effort toward ensuring compliance with the requirements of Section 404 of the Sarbanes-Oxley Act and the other rules and regulations of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or perceived sale or availability for sale, of substantial amounts of our ADSs could adversely affect their market price.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There were 181,380,909 ADSs (equivalent to 2,720,713,635 Class A ordinary shares) outstanding as of March 31, 2026. We may also issue additional options in the future that may be exercised for additional Class A ordinary shares. We cannot predict what effect, if any, market sales of securities held by our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shareholders or any other shareholder or the availability of these securities for future sale will have on the market price of our ADSs.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limits investors’ ability to influence corporate matters and could discourage others from pursuing any change of control transactions.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and will maintain a dual-class share structure such that our ordinary shares consist of Class A ordinary shares and Class B ordinary shares. In respect of matters requiring the votes of shareholders, a holder of Class B ordinary shares is entitled to 20 votes per share, while holders of Class A ordinary shares are entitled to one vote per share based on our dual-class share structure. Each Class B ordinary share is convertible into one Class A ordinary share by the holder thereof, subject to certain conditions, while Class A ordinary shares are not convertible into Class B ordinary shares under any circumstances. Upon any sale of Class B ordinary shares by a holder thereof to any person other than Mr. Tianhua Wu or any entity which is not a permitted affiliate to Mr. Tianhua Wu, such Class B ordinary shares are automatically and immediately converted into the same number of Class A ordinary shares.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Tianhua Wu and his family beneficially own all of our issued Class B ordinary shares. As of March 31, 2026, these Class B ordinary shares constitute 3.43% of our total issued and outstanding share capital and 43.18% of the aggregate voting power of our total issued and outstanding share capital due to the disparate voting powers associated with our dual-class share structure. See Item 7.A “Major Shareholders.” As a result of the dual-class share structure and the concentration of ownership, holders of Class B ordinary shares will have considerable influence over matters such as decisions regarding mergers, consolidations and the sale of all or substantially all of our assets, election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limits holders of our Class A ordinary shares and ADSs ability to influence corporate matters and could discourage others from pursuing any potential merger, takeover or other change of control transactions that holders of Class A ordinary shares and ADSs may view as beneficial.</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Mr. Tianhua Wu’s control of our Class B ordinary shares, Mr. Wu will effectively control the outcome of shareholder actions in our company and may take actions that might not be beneficial to holders of our Class A ordinary shares or ADSs.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Tianhua Wu holds the voting rights attached to all of our Class B ordinary shares and to all of the options or restricted share units awarded under the 2018 Share Incentive Plan, 2019 Performance Incentive Plan and Amended and Restated 2019 Performance Incentive Plan. As each Class B ordinary share entitles its holder to 20 votes per share, such Class B ordinary shares in the aggregate represent approximately 43.18% of the combined total voting rights in our company. Mr. Wu’s Class A and Class B ordinary shares give him the power to control any actions that require shareholder approval under Cayman Islands law, our memorandum and articles of association, and the Nasdaq requirements. Mr. Wu could have sufficient voting rights to determine the outcome of all matters requiring shareholder approval even if he should, at some point in the future, hold considerably less than a majority of the combined total of our outstanding ordinary shares. Mr. Wu’s voting power may prevent a transaction involving a change of control of us, including transactions in which holders of our Class A ordinary shares or ADSs might otherwise receive a premium for securities over the then-current market price. Similarly, Mr. Wu may approve a merger or consolidation of our company which may result in holders of our Class A ordinary shares or ADSs receiving a stake (either in the form of shares, debt obligations or other securities) in the surviving or new consolidated company which may not operate our current business model and dissenter rights may not be available to such holders in such an event.</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under the Exchange Act and therefore are exempt from certain provisions applicable to U.S. domestic public companies.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that are applicable to U.S. domestic issuers, including but not limited 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in press releases, distributed pursuant to the rules and regulations of the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investors may not avail themselves of the same information or protection that would be available to investors in a U.S. domestic issuer.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4, 2025, the SEC issued a concept release seeking public comment on potential revisions to the definition of foreign private issuer under U.S. securities laws. The concept release considers whether the current criteria, such as the thresholds for U.S. ownership, voting control, board composition, and place of business, appropriately capture today’s global market realities. The SEC is evaluating whether updates are warranted to ensure consistent application of disclosure and reporting requirements under the Exchange Act and to address potential disparities between foreign private issuers and domestic issuers. If the SEC revises the definition of foreign private issuer and we no longer qualify as one under the revised standard, we would become subject to the same reporting and disclosure requirements that apply to U.S. domestic issuers. This change would increase our regulatory compliance burden, including the need to file periodic reports on U.S. domestic forms, comply with U.S. proxy solicitation rules, and adhere to more extensive executive compensation and beneficial ownership disclosure obligations. Any such loss of foreign private issuer status could result in higher compliance costs, increased administrative complexity, and potential adverse effects on our investor relations and market perception.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 foreign private issuer organized under the laws of a non-U.S. country, it may be more difficult for investors and regulators to bring actions against us and our officers and directors.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organized under the laws of the Cayman Islands, and many of our subsidiaries are organized under the laws of other jurisdictions outside the United States, including the PRC, Hong Kong, New Zealand, Singapore, and Australia. Because we and many of our subsidiaries are not U.S. companies and carry out a majority of our operations outside the United States, it may be more difficult for investors and regulators to bring suits against us and our management, including class action securities law and fraud claims, than it would be to bring claims against a U.S. company.</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with ADSs listed on the Nasdaq Global Select Market, we follow certain home country corporate governance practices instead of certain Nasdaq requirements.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foreign private issuer whose ADSs are listed on the Nasdaq Global Select Market, we are permitted to follow certain home country corporate governance practices instead of certain Nasdaq requirements. A foreign private issuer that elects to follow its home country practice must submit to The Nasdaq Stock Market LLC a written statement from an independent counsel in such issuer’s home country certifying that the issuer’s practices are not prohibited by the home country’s laws. In addition, a foreign private issuer must disclose in its annual reports filed with the SEC each Nasdaq requirement with which it does not comply followed by a description of its applicable home country practice.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company incorporated in the Cayman Islands with ADSs listed on the Nasdaq Global Select Market, we follow our home country practice instead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requirements that mandate that:</w:t>
      </w:r>
    </w:p>
    <w:p>
      <w:pPr>
        <w:spacing w:after="0" w:line="207" w:lineRule="exact"/>
        <w:rPr>
          <w:sz w:val="20"/>
          <w:szCs w:val="20"/>
          <w:color w:val="auto"/>
        </w:rPr>
      </w:pPr>
    </w:p>
    <w:p>
      <w:pPr>
        <w:ind w:left="5540" w:right="5120" w:hanging="5158"/>
        <w:spacing w:after="0" w:line="541" w:lineRule="auto"/>
        <w:tabs>
          <w:tab w:leader="none" w:pos="762"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be comprised of a majority of independent directors;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be selected or nominated by a majority of the independent directors or a nomination committee comprised solely of independent directors;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adopt a formal written charter or board resolution addressing the director nominations process and such related matters as may be required under the U.S. federal securities laws;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our executive officers be determined or recommended by a compensation committee comprised solely of independent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ordinary shares may adversely affect the trading market for our ADSs.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our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our ADSs. Any actions or publications by shareholder advisory firms critical of our corporate governance practices or capital structure could also adversely affect the value of our ADSs.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may not be able to participate in rights offerings and may experience dilution of your holdings as a result.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Under the deposit agreement for the ADSs, the depositary will not offer those rights to ADS holders unless both the rights and the underlying securities to be distributed to ADS holders are either registered under the Securities Act, or exempted from registration under the Securities Act with respect to all holders of ADSs. We are under no obligation to file a registration statement with respect to any such rights or underlying securities or to endeavor to cause such a registration statement to be declared effective. In addition, we may not be able to take advantage of any exemptions from the registration under the Securities Act. Accordingly, holders of the ADSs may be unable to participate in our rights offerings and may experience dilution in their holdings as a result.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Judgments obtained against us and our directors and officers by our shareholders may not be enforceable in our home jurisdiction.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Cayman Islands company and a significant percentage of our current brokerage operations are conducted in New Zealand. In addition, a significant majority of our current directors and officers are nationals and residents of jurisdictions other than the United States, including China. As a result, it may be difficult or impossible for shareholders to bring an action against us or against these individuals in the United States in the event that they believe that their rights have been infringed under the U.S. federal securities laws, including the civil liability provisions of the U.S. securities laws, or otherwise. Even if shareholders are successful in bringing an action of this kind, the laws of the Cayman Islands, New Zealand, China and other jurisdictions where we operate may render them unable to enforce a judgment against our assets or the assets of our directors and officers. There are uncertainties as to whether Cayman Islands courts would:</w:t>
      </w:r>
    </w:p>
    <w:p>
      <w:pPr>
        <w:spacing w:after="0" w:line="189"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against us, judgments of courts of the U.S. based on certain civil liability provisions of the U.S. securities laws;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liabilities against us, in original actions brought in the Cayman Islands, based on certain civil liability provisions of the U.S. securities laws that are penal in nature.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is no statutory recognition in the Cayman Islands of judgments obtained in the United States, although the courts of the Cayman Islands will under certain circumstances recognize and enforce a non-penal judgment of a foreign court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competent jurisdiction without retrial on the merits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ADSs depends in part on the research and reports that securities or industry analysts publish about us or our industry. If research analysts do not establish and maintain adequate research coverage or if the analysts who cover us downgrade our ADSs or publish inaccurate or unfavorable research about our industry, the market price for our ADSs might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depositary for our ADSs will give us a discretionary proxy to vote our Class A ordinary shares underlying your ADSs if holders of our ADSs do not vote at shareholders’ meetings, except under limited circumstances, which could adversely affect our ADS holders’ interests.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deposit agreement for the ADSs, if a holder of our ADSs does not give instructions for voting the Class A ordinary shares underlying their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the depositary will give us a discretionary proxy to vote those Class A ordinary shares at the shareholders’ meeting unless:</w:t>
      </w:r>
    </w:p>
    <w:p>
      <w:pPr>
        <w:spacing w:after="0" w:line="207"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failed to timely provide the depositary with a notice of meeting and related voting materials;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at the meeting is to be made on a show of hands.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holders of our ADSs cannot prevent our Class A ordinary shares underlying their ADSs from being voted at the shareholder meeting, except under the circumstances described above. This may make it more difficult for shareholders to influence the management of our company. Holders of our Class B ordinary shares are not subject to this discretionary proxy.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deposit agreement may be amended or terminated without the consent of holders of our ADSs.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the depositary may amend or terminate the deposit agreement without the consent of holders of our ADSs. Such amendment or termination may be done in favor of our company. Holders of our ADSs are entitled to a prior notice in the event of a materially prejudicial amendment or termination thereof. If holders continue to hold their ADSs after an amendment to the deposit agreement, they agree to be bound by the deposit agreement as amended. The deposit agreement may be terminated at any time upon a prior written notice. Upon the termination of the deposit agreement, our company will be discharged from all obligations under this deposit agreement except for its obligations to the depositary thereunder.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pay dividends in the future, investors must rely on price appreciation of our ADSs for return on your investment.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may from time to time declare dividends or authorize other distributions to our shareholders, subject to certain restrictions under the Cayman Islands law, namely that our company may only pay dividends out of profits or share premium, and provided always that in no circumstances may a dividend be paid out of share premium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on an investment in our ADSs will likely depend entirely upon any future price appreciation of our ADSs. There is no guarantee that our ADSs will appreciate in value or even maintain the price at which investors purchased the ADSs. Investors may not realize a return on their investment in our ADSs and may even lose their entire investment in our ADSs.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receive dividends or other distributions on our Class A ordinary shares and may not receive any value for them, if it is illegal or impractical to make them available to.</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the extent that we decide to pay a dividend or make other distributions in the future, the depositary of our ADSs has agreed to pay to holders of our ADSs such cash dividends or other distributions it or the custodian receives on Class A ordinary shares or other deposited securities underlying our ADSs, after deducting its fees and expenses. Holders of our ADSs will receive these distributions in proportion to the number of Class A ordinary shares their ADSs represent. However, the depositary is not responsible if it decides that it is unlawful or impractical to make a distribution available to any holders of ADSs. For example, it would be unlawful to make a distribution to a holder of ADSs if there are securities that require the registration under the Securities Act but such securities are not properly registered or distributed under an applicable exemption from the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the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holders of our ADSs may not receive distributions we make on our Class A ordinary shares or any value for them if it is illegal or impractical to make them available to them. These restrictions may cause a material decline in the value of our ADSs.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may be subject to limitations on the transfer of ADSs.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offerings when the depositary needs to maintain an exact number of ADS holders on its books for a specified period. The depositary may also close its books in emergencies, and on weekends and public holidays in the United States. The depositary may refuse to deliver, transfer or register the transfers of our ADSs generally when our share register or the books of the depositary are closed, or at any time if we or the depositary think that it is advisable to do so because of any requirement of law or of any government or governmental body, or under any provision of the deposit agreement, or for any other reason in accordance with the terms of the deposit agreement. As a result, holders of our ADSs may be unable to transfer their ADSs when they wish to under these circumstances.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memorandum and articles of association contain anti-takeover provisions that could discourage a third party from acquiring us, which could limit our shareholders’ opportunity to sell their shares, including Class A ordinary shares represented by the ADSs, at a premium.</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pursuant to a fourth amended and restated memorandum and articles of association. Some provisions of our fourth amended and restated memorandum and articles of association may discourage, delay or prevent a change of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shareholders; and limit the ability of shareholders to requisition and convene general meetings of shareholders. Under Cayman Islands law, our directors may only exercise the rights and powers granted to them under our fourth amended and restated memorandum and articles of association for a proper purpose and for what they believe in good faith to be in the best interests of our company. However, these provisions could still have the effect of depriving our shareholders of an opportunity to sell their shares at a premium over prevailing market prices by discouraging third parties from seeking to obtain control of our company in a tender offer or similar transaction.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substantial risk that we will be a passive foreign investment company, or PFIC, for 2025 and future taxable years, which could result in adverse U.S. federal income tax consequences to U.S. investors in our ADSs or Class A ordinary shares.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a non-U.S. corporation is a PFIC for U.S. federal income tax purposes for any taxable year in which (i) 50% or more of the average value of its assets (generally determined on a quarterly basis)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(and income equivalent to interest), investment gains and certain rents and royalties. Cash is generally a passive asset for these purposes. The value of goodwill and other intangibles is generally treated as an active asset to the extent attributable to business activities that produce active income.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PFIC status for any taxable year will depend on the composition of our income and assets and the value of our assets from time to time and therefore may change from year to year. Our annual PFIC status is subject to significant uncertainties. For example, because we hold, and will continue to hold after this offering, a substantial amount of cash and cash equivalents, our annual PFIC status will depend in part on the value of our goodwill and other intangible assets for the relevant taxable year. The value of our goodwill and other intangible assets may be determined, in part, by reference to our market capitalization, which has been, and may continue to be, volatile. If the value of our goodwill and other intangible assets is so determined, our annual PFIC status will be affected by fluctuations of our market capitalization. In addition, the extent to which our goodwill and other intangible assets should be treated as active is not entirely clear, and we may be a PFIC if a significant portion of our goodwill and other intangible assets is treated as passive. Furthermore, it is not entirely clear whether certain items of our assets and liabilities shown on our balance sheet should be disregarded for purposes of the PFIC rules. For example, it is not entirely clear whether portions of the cash and other assets reflected on our balance sheet should be excluded from the value of our assets to the extent they are held for, or attributable to, our customers and are treated as our customers’ assets for certain local law purposes (“customers’ assets”). We believe it is reasonable to treat such customers’ assets as not forming part of our assets for PFIC purposes, but there can be no assurance that the Internal Revenue Service, or the IRS, will not successfully challenge this position, in which case we will likely be a PFIC. The extent to which certain of such customers’ assets (and corresponding liabilities) should be so disregarded for purposes of the PFIC rules is also not entirely clear. In addition, it is not entirely clear how the contractual arrangements between us and our VIEs will be treated for purposes of the PFIC rules, and we may be or become a PFIC if our VIEs are not treated as owned by us for these purposes. While we believe it is reasonable to determine that we are not a PFIC for 2025, there can be no assurance regarding our PFIC status because the PFIC determination is highly factual. For these reasons, there is a substantial risk we are a PFIC for 2025 and will be a PFIC in future taxable years.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a U.S. taxpayer owns ADSs or Class A ordinary shares, the U.S. taxpayer generally will be subject to adverse U.S. federal income tax consequences (generally, regardless of whether we cease to be a PFIC for subsequent taxable years), including increased tax liability on disposition gains and certain “excess distributions” and reporting requirements. For more information on the U.S. tax consequences to certain U.S. investors that would result from our classification as a PFIC, see Item 10.E “Taxation-Material United States Federal Income Taxation-Passive Foreign Investment Company Rules.”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certain attribution rules, certain of our non-U.S. subsidiaries are expected to be treated as controlled foreign corporations for U.S. federal income tax purposes, and, as a result, there could be adverse U.S. federal income tax consequences to U.S. investors that own our ADSs or Class A ordinary shares (directly or indirectly) and are treated as “Ten Percent Shareholders.”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“Ten Percent Shareholders” (as defined below) in a non-U.S. corporation that is a controlled foreign corporation, or a CFC, for U.S. federal income tax purposes generally are required to include in income for U.S. federal income tax purposes their pro rata share of the CFC’s “Subpart F income,” investment of earnings in U.S. property and “global intangible low taxed income,” or “net CFC tested income,” as applicable, even if the CFC has made no distributions to its shareholders. A non-U.S. corporation generally will be a CFC for U.S. federal income tax purposes if Ten Percent Shareholders own, directly, indirectly or constructively (through attribution), more than 50% of either the total combined voting power of all classes of stock of such corporation entitled to vote or of the total value of the stock of such corporation. A “Ten Percent Shareholder” is a United States person (as defined by the U.S. Internal Revenue Code of 1986, as amended) that owns directly or indirectly, or is considered to own constructively, 10% or more of the total combined voting power of all classes of stock entitled to vote of such corporation or 10% or more of the total value of the stock of such corporation. We are not expected to be a CFC. However, the determination of CFC and have been subject to recent changes in tax law. Under certain “downward attribution” rules applicable till the 2025 taxable year certain of our non-U.S. subsidiaries are expected to be treated as constructively controlled by our U.S. subsidiaries and therefore our non-U.S. subsidiaries are expected to be treated as CFCs. We do not intend to provide information to Ten Percent Shareholders that may be required in order for those shareholders to properly report their U.S. taxable income with respect to our or our subsidiaries’ operation. Prospective investors that may be or become Ten Percent Shareholders who directly or indirectly own our ADSs or Class A ordinary shares should consult their tax advisers with respect to the potential adverse tax consequences of investing in us.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History and Development of the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 Fintech Holding Limited, known commercially in the Asia-Pacific region as “Tiger Brokers”, is a Cayman Islands exempted company incorporated in January 2018 and operating under the Companies Law of the Cayman Islands. As of the date of this report, our authorized share capital is US$50,000 divided into 5,000,000,000 shares.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commenced our technology research and development in June 2014 through Beijing Xiangshang Rongke Technology Development Co., LTD, or Beijing Rongke, formerly known as Ningxia Xiangshang Rongke Technology Development Co., LTD, or Ningxia Rongke.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2015, Beijing Rongke acquired a New Zealand registered financial service provider, Tiger Holdings Group Limited, formerly known as Transaction Holdings (N.I.) Limited. In August 2016, Beijing Rongke acquired Tiger Brokers (NZ) Limited, also a registered financial service provider in New Zealand. Substantially all of our revenues were generated from Tiger Holdings Group Limited in 2016 and 2017, and from Tiger Brokers (NZ) Limited in 2018 and 2019. Tiger Brokers (NZ) Limited was known as Top Capital Partners Limited prior to June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 IPO and Acquisition of TradeUP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foreign investment in our business, starting from early 2018, we began to establish an offshore holding structure for our company. As part of the efforts, we incorporated a Cayman Islands exempted company, UP Fintech Holding Limited, or our company, as our offshore holding company in January 2018. In February 2018, we established Up Fintech International Limited in Hong Kong, or Up International, as our intermediate holding company, which in turn established our WFOEs, Beijing Bohu, formerly known as Ningxia Xiangshang Yixin Technology Co., LTD, or Ningxia Yixin in May 2018, and Beijing Xiangshang Yixin Technology Co., LTD, or Beijing Yixin, in July 2018.</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enable our effective control over the PRC operating entities and their subsidiaries including Tiger Brokers (NZ) Limited (at the time), Beijing Bohu entered into variable interest entity, or VIE, contractual arrangements with Beijing Rongke, and Beijing Yixin entered into substantially similar VIE arrangements with Beijing Xiangshang Yiyi Technology Co., LTD, or Beijing Yiyi, which we collectively refer to as the VIEs in this report, and their respective shareholders. These contractual arrangements enable us to exercise effective control over the VIEs and their respective subsidiaries, receive substantially all of the economic benefits of such entities, and have an exclusive option to purchase all or part of the equity interests in and assets of them to the extent permitted by the applicable laws and regulations. For more details, please see “Item 3. Key Information – Contractual Arrangements with the VIEs and Their Respective Shareholders.”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2018, we formed a wholly-owned subsidiary Up Fintech Global Holdings Limited in British Virgin Islands, or BVI, first as the holding company to hold our wholly-owned U.S. entity, Tiger Fintech Holdings Inc., or Tiger Fintech Holdings and later as the holding company to hold our subsidiaries in other jurisdictions. In August 2018, Tiger Fintech Holdings acquired 100% of the equity interests of Wealthn LLC, a registered investment advisor in the United States. Wealthn LLC provides investment advisory services for high-net-worth individuals, family offices and other clients. In November 2018, Tiger Fintech Holdings completed the acquisition of 100% of the equity interests in US Tiger Securities, Inc. (formerly known as JFD Securities, Inc.), a U.S. registered broker-dealer.</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2018, we established another wholly-owned subsidiary Xiangshang Upfintech Holding Limited, a BVI company, to hold other licensed operating companies including its wholly-owned operating entity in Singapore, Tiger Fintech (Singapore) Pte. Ltd., which was established in March 2018. In October 2018, Beijing Rongke transferred all equity interests in Tiger Brokers (NZ) Limited to Tiger Fintech (Singapore) Pte. Ltd. As a result, Tiger Brokers (NZ) Limited is no longer held by the VIEs in China. In November 2018, Tiger Brokers (NZ) Limited acquired 100% of the equity interests in Fleming Funds Management PTY Limited (“Fleming”), which was established in Australia in January 2006 and has been authorized as a licensed financial services provider in Australia since July 2006.</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2018, we established JV Uptech Holding Limited in BVI as a holding company to expand our business in Hong Kong. In October 2018, JV Uptech Holding Limited acquired 100% of the equity interests in Kastle Limited, which, in January 2019, was granted a license to carry on trust and company service business in Hong Kong, and in September 30, 2022, was registered as a Trust Company under section 78(1) of the Trustee Ordinance (Cap. 29). In January 2019, we entered into an agreement to purchase 100% equity interest of Tung Chi Consulting Limited, a licensed insurance broker in Hong Kong, and the acquisition completed in February 2019. Subsequently, in March 2025, we completed the transfer of 100% of the equity in Tung Chi Consulting Limited to a third party for strategic focusing on core business.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2019, we completed our initial public offering of 14,950,000 of our ADSs, each representing 15 of our Class A ordinary shares. Concurrently, one of our existing shareholders, IB Global Investments LLC, a member of the Interactive Brokers Group of companies, purchased 13,125,000 Class A ordinary shares in a private placement.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2019, we acquired 100% of the equity interests in TradeUP Securities for total consideration of US$9,348,290 in a combination of US$6,348,290 of cash and US$3,000,000 of Class A ordinary shares of the Company. TradeUP Securities is a licensed U.S. self-clearing broker-dealer that focuses on empowering self-directed investors with the necessary tools to manage their portfolios. TradeUP Securities brings in rich broker dealer experience in execution and clearing.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January 2024, our wholly owned subsidiary Tiger Brokers HK has officially upgraded its Type 1 license to include virtual asset dealing service, making it one of the first mainstream online brokerage firms in Hong Kong to receive approval for such a license upgrade. This successful upgrade opens the door for providing cryptocurrency trading services to Professional Investor clients in Hong Kong through its flagship platform, Tiger Trade.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2024, SFC has officially granted a Type 9 license (Asset Management) to Tiger Brokers HK, authorizing Tiger Brokers HK to provide asset management services, including discretionary accounts service to both retail clients and professional investors and asset management service to collective investment schemes offered to professional investors only.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2024, we completed our follow-on public offering of 17,250,000 of our ADSs, at a public offering price of US$6.25 per ADS, each representing 15 of our Class A ordinary shares.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2025, SFC granted YAX (Hong Kong) Limited, our wholly owned subsidiary, a virtual asset trading platform (VATP) license to operate its virtual asset trading platform.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2025, Kastle (BVI) Limited, a wholly-owned subsidiary of Kastle Limited, was granted a Restricted Class II Trust Licence. Following the grant of the licence, Kastle (BVI) Limited is authorized to carry on trust business in the British Virgin Islands.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2026, TBAU received the varied License, removing the Key Person requirements entirely.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locations of our principal executive offices are 1 Raffles Place, #35-61 One Raffles Place, Singapore (048616) and 18/F, Grandyvic Building, No. 1 Building, No. 16 Taiyanggong Middle Road, Chaoyang District, Beijing, 100020 PRC and our telephone number in China at this address is +86-010-56813666. Our registered office in the Cayman Islands is P.O. Box 31119 Grand Pavilion, Hibiscus Way, 802 West Bay Road, Grand Cayman, KY1-1205, Cayman Islands and our telephone number in Cayman Islands at this address is +1 345-769-9372. Our agent for service of process in the United States is Puglisi &amp; Associates, located at 850 Library Avenue, Suite 204 Newark, Delaware 19711 and the telephone number of our agent is +302-738-6680.</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Investors should contact us for any inquiries through the address and telephone number of our principal executive offices. Our website is </w:t>
      </w:r>
      <w:r>
        <w:rPr>
          <w:rFonts w:ascii="Times New Roman" w:cs="Times New Roman" w:eastAsia="Times New Roman" w:hAnsi="Times New Roman"/>
          <w:sz w:val="18"/>
          <w:szCs w:val="18"/>
          <w:i w:val="1"/>
          <w:iCs w:val="1"/>
          <w:color w:val="auto"/>
        </w:rPr>
        <w:t>www.itigerup.com</w:t>
      </w:r>
      <w:r>
        <w:rPr>
          <w:rFonts w:ascii="Times New Roman" w:cs="Times New Roman" w:eastAsia="Times New Roman" w:hAnsi="Times New Roman"/>
          <w:sz w:val="18"/>
          <w:szCs w:val="18"/>
          <w:color w:val="auto"/>
        </w:rPr>
        <w:t>. Information contained in, or accessible through, our website is not a part of, and is not incorporated into,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Their Respective Shareholders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under “Item 3. Key Information – Contractual Arrangements with the VIEs and Their Respective Shareholders”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 and Divestitures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including the amount invested, of the Company’s principal capital expenditures (including interests in other companies) for the years ended December 31, 2023, 2024 and 2025, see Item 5.B “Liquidity and Capital Resources-Capital Expenditures,” which disclosure is incorporated by reference in this item.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make any material divestitures for the years ended December 31, 2023, 2024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the Company has not made any capital expenditures or divestitures in calendar year 2025 that were not in the ordinary course of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that file electronically with the SEC at http://www.sec.gov. The Company’s SEC filings can be found there and on the Company’s website at https://ir.itigerup.com/financials/sec-filings.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Business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leading integrated financial technology platform providing cross-market, multi-product investment experience for investors around the world. We primarily operate a one-stop digital brokerage platform, which serves as a gateway for retail and corporate clients. Underpinned by the brokerage services, we have successfully expanded our product offerings to ESOP management, IPO distribution, and wealth management. These integrated product offerings are highly synergetic and have significantly increased the average revenue per user and customer lifetime value.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comprehensive brokerage services through our integrated single-account structure, which empowers users in trade execution, margin financing and securities lending across different global markets. We also provide value-added services, such as investor education, community engagement and IR/PR platform, all within a few taps or clicks through APP on smartphone, tablet and PC terminals. In addition, we offer ESOP management services to soon-to-be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listed and listed companies, which enable them and their employees to manage their equity incentive schemes in a convenient and simplified manner and enables us to build better connections with the institutional investors of the mentioned firms. Moreover, we serve such issuers whom we expect to have a greater chance of cross-selling our IPO distribution services, while retaining such employees with equity incentive awards to trade and invest on our platform. As of December 31, 2025, we have served 748 corporate clients via our ESOP business. Furthermore, IPO distribution is also an integral part of our comprehensive services package and is a major focus for our future growth. It not only helps us strengthen our relationship with corporate clients, but also provides IPO subscription opportunities for our retail clients. In 2025, we participated in 47 U.S. and Hong Kong IPOs. In further, we offer ESOP employees and other brokerage customers personalized asset management and wealth management services at competitive prices, such as pre-IPO shares, overseas fund products or bonds, which then lead our users to allocate more of their wealth on our platform.</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keep optimizing our product and user experience, which we believe is the key to our long-term success. Our all-in-one experience adopted a comprehensive risk methodology enabling users to trade multi-asset classes across different markets in one integrated account. Our agile and scalable infrastructure enables us to enter new markets such as Hong Kong, Australia and other jurisdictions in a more efficient way. In addition, we distinguish ourselves in the market by moving up to the high-entry-barrier sector of self-clearing in the U.S. with acquisition of TradeUP Securities in 2019. We have restructured and upgraded the clearing system of TradeUP Securities to achieve high business flexibility. By the end of the fourth quarter of 2025, we have self-cleared over 90% of U.S. cash equity and option traded on our platform, further improved our operating efficiency and profit margin.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IPO underwriting business experienced stable growth between 2024 and 2025. It is an integral part of our comprehensive services package. In 2025, we participated in 12 U.S. IPOs (down from 16 in 2024), in 11 of which the Company’s wholly-owned subsidiaries Tiger Brokers (NZ) Limited or US Tiger Securities, Inc. served as the underwriter (up from 9 in 2024). In 2025, the Company participated in 35 Hong Kong IPOs. Since venturing into investment banking, the Company has participated in underwriting the offerings of over 230 companies for listings in Hong Kong and the US, which gains industry recognition.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keep optimizing our topline mix to overcome market volatility. While we primarily generate revenues by charging our customers commission fees for trading of securities, we also earn interest income or financing service fees arising from or related to margin financing and securities borrowing and lending transactions provided by ourselves or third parties to our customers for trading activities, as well as other income from IPO distribution, and wealth management.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generate revenues primarily by charging our customers commission fees for trading of securities as well as earning interest income or financing service fees arising from or related to margin financing and securities borrowing and lending transactions provided by ourselves or third parties to our customers for trading activities. Our revenues were US$272.5 million, US$391.5 million and US$612.1 million in 2023, 2024 and 2025, respectively. We generated net income of US$33.0 million, US$61.4 million and US$171.5 million in 2023, 2024 and 2025, respectively. Our revenues in 2023, 2024 and 2025 were mainly generated in New Zealand, the U.S. and Singapore. Our New Zealand, U.S. and Singapore subsidiaries have contributed over 88.2% of total revenues for the year ended December 31, 2025. For a further description of the breakdown of our total revenues, see “Item 5. – A Operating Results,” which disclosure is incorporated by reference in this item.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Harnessing our comprehensive product offerings and proprietary cutting-edge technology, we are well positioned to meet the distinct needs of global investors and capitalize on the structural advantages inherent in the broader macro trends: online migration, booming retail participation and rising private wealth, each of these secular trends bolsters the growth of online investing and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strengthen our competitive position and proactively grow our business by pursuing the following strategies: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internationally to serve investors around the world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plan to leverage our first-mover advantage to seize opportunities in the digital brokerage sector. Through our highly extensible and scalable technology platform, we intend to leverage our proven track record and experience of global expansion and deep local market insights to broaden our foothold and gain market share in selective markets. We have already obtained licenses to operate our brokerage business in the United States, Hong Kong, Singapore, New Zealand and Australia. We will continue to opportunistically evaluate and pursue licenses or acquisitions to enhance our offerings and accelerate growth objectives in existing or new product verticals.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Broaden and capitalize on our customer base while prioritizing user quality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grow with our customers as their investment needs evolve with adoption of more products and services on our platform. We aim to develop a robust long-term customer relationship which helps us deepen investor engagement and retention, and increase relationship balance overtime. To achieve this, we will continue to invest in enhancing user experience and optimizing product offerings of our platform, and foster our online investor community with high-quality, differentiated contents.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introduce our users to a wider investment world, we grow with them. We will continue to serve as a lifetime investment companion to our users through enhanced contents and tools, optimized platform features and incentive schemes that allow users to better trade, learn, practice, communicate, share and harvest with us. We have an expansive base of high-quality corporate clientele which are highly synergetic to a number of our businesses such as brokerage and margin financing.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continue to foster the deep connection between our retail and corporate clients and leverage the powerful flywheel inherent in our business model to accelerate growth and crystallize operating synergies. Through our comprehensive service matrix that educates and nurtures users on our IR platform, and proactively initiates interactive events and campaigns for listed companies and investors, we will continue to bridge communication between our retail and corporate clients, and in turn enhance customer conversion and engagement overtime.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acquisition strategy has been set with a clear focus on quality and ROI. We have been putting more emphasis on expanding our high-net-worth client base, rather than merely pursuing user numbers. We have executed firmly with this strategy. In 2025, full-year net asset inflow exceeded US$10 billion, the majority of which came from retail clients. Net asset inflows from retail clients doubled compared with 2024 and reached an all-time high on a full-year basis. This helped total client assets jump from the US$40 billion level at the end of 2024 to the US$60 billion level by the end of 2025, which in turn has made our overall profitability more resilient.</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Extend the breadth and depth of our offerings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business thrives on constant expansion and relentless innovation of products and services. We will solidify our position as the platform of choice for online investing to customers of all types throughout economic cycles.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continue focusing on a comprehensive and diversified suite of offerings to encompass:</w:t>
      </w:r>
    </w:p>
    <w:p>
      <w:pPr>
        <w:spacing w:after="0" w:line="225" w:lineRule="exact"/>
        <w:rPr>
          <w:sz w:val="20"/>
          <w:szCs w:val="20"/>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Cross-market, multi-product investment experiences and product capabilities, including local-market equities, fund products and new economy investment assets; and</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investing tools that leverage our strong product know-how to offer fund selection and portfolio construction not only to our customers, but also to our corporate clients to enable better services to their own clients.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grow wealth management services through deepening relationships with product providers, while at the same time enhancing product innovation and portfolio construction capabilities, which allow us to offer more robust product matching and customization with greater transparency. In particular, we aim to further increase and diversify investment products available on our platform and to enhance our research and investment expertise to increase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competitiveness of our asset management and wealth management services. We also aim to provide asset management and wealth management services to a greater number of high-net-worth individuals as well as institutional and corporate customers. We will also continue to engage in product innovation and content enrichment through our strong and proven R&amp;D capabilities.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Strengthening investment in core infrastructure and technology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cement our technology leadership in the industry, we are committed to continuous investment in enhancing reliability, functionality, scalability and performance of our proprietary technology system. For example, we have adopted a hybrid cloud infrastructure around the world, which allows us to retain flexibility while ensuring security, via a public cloud for conducting non-sensitive information and a private cloud for processing and storing business-critical data. We will seek to partner with leading cloud service providers to maintain and enhance the agility of our technology infrastructure.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continue to invest in core infrastructure to strengthen our front-to-back technology and support foray into new capabilities and markets. We aim to further improve user experience by modularizing our APPs, which allows us to achieve high reusability and quality, while at the same time maintaining flexibility to tailor particular modules to fit the needs of our cross-cultural customers. We will continue to enhance our technology in order management, algorithmic trading, risk control and market access. Following our strategic acquisition of TradeUP Securities in 2019, we have restructured and upgraded its clearing system to achieve high business flexibility. Now, we self-clear a majority for U.S. and Hong Kong cash equities trades, which brings down our total clearing expense, and we will continue to invest in the development of our self-clearing capabilities in the US and other markets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further develop AI, big data and algorithmic capabilities to optimize our value propositions and improve operating efficiency, including:</w:t>
      </w:r>
    </w:p>
    <w:p>
      <w:pPr>
        <w:spacing w:after="0" w:line="225" w:lineRule="exact"/>
        <w:rPr>
          <w:sz w:val="20"/>
          <w:szCs w:val="20"/>
          <w:color w:val="auto"/>
        </w:rPr>
      </w:pPr>
    </w:p>
    <w:p>
      <w:pPr>
        <w:jc w:val="both"/>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investment into our advanced data warehouse and user profiling systems to empower marketing intelligence, which allows us to optimize customer experience through more personalized product offerings and recommendations, and enhancing user engagement and retention via our persistent focus on precise client management, customer profiling and labelling;</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artificial intelligence and quantitative modelling tools into our platform, therefore making our platform increasingly smart and agile when offering financial advisory and portfolio construction to our customers. We launched TigerGPT in 2023 and updated it to TigerAI in 2024. TigerAI is an AI investment assistant aimed at providing intelligent decision-making support for investors developed by Tiger Brokers’ R&amp;D team and based on leading AI models; In 2025, TigerAI has seen a rapid increase in usage, with user numbers growing nearly fivefold year over year, and the number of conversations increasing tenfold. Meanwhile, the intelligent investment analysis tool, TradingFront AI, provides real-time portfolio analysis and market insights for asset management businesses, helping investment advisors enhance their analysis efficiency and decision-making quality. And</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cost optimization and improvement of operating efficiency through process automation.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Core Products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Brokerage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deliver a comprehensive and user-friendly online trading experience for investors through our platform that can be accessed through our APP or website. Our services became accessible on the website and through our flagship APP, Tiger Trade, in August 2015. Currently our trading platform enables our customers to execute trades in a secure, reliable and cost-efficient environment. Our trading platform also encompasses an abundance of complementary services that help our customers make informed investment decisions.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platform allows investors to trade stocks, options, warrants and other financial instruments listed on the major stock exchanges around the world, including but not limited to Nasdaq, New York Stock Exchange and Hong Kong Stock Exchange as well as A shares which are eligible under Shanghai-Hong Kong Stock Connect and Shenzhen-Hong Kong Stock Connect programs. Our customers can also trade futures contracts, trade on margin and short sell on our trading platform.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trading volume amounted to US$316.6 billion during the fourth quarter of 2025. Below is the table of the operating data as of the dates or for the periods indicated.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7"/>
          </w:tcPr>
          <w:p>
            <w:pPr>
              <w:ind w:left="660"/>
              <w:spacing w:after="0"/>
              <w:rPr>
                <w:sz w:val="20"/>
                <w:szCs w:val="20"/>
                <w:color w:val="auto"/>
              </w:rPr>
            </w:pPr>
            <w:r>
              <w:rPr>
                <w:rFonts w:ascii="Times New Roman" w:cs="Times New Roman" w:eastAsia="Times New Roman" w:hAnsi="Times New Roman"/>
                <w:sz w:val="12"/>
                <w:szCs w:val="12"/>
                <w:b w:val="1"/>
                <w:bCs w:val="1"/>
                <w:color w:val="auto"/>
                <w:w w:val="96"/>
              </w:rPr>
              <w:t>As of and for the Three Months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1940" w:type="dxa"/>
            <w:vAlign w:val="bottom"/>
          </w:tcPr>
          <w:p>
            <w:pPr>
              <w:spacing w:after="0"/>
              <w:rPr>
                <w:sz w:val="18"/>
                <w:szCs w:val="18"/>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Mar 31,</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Jun 30,</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Sep 30,</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Dec 31,</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Mar 31,</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Jun 30,</w:t>
            </w: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Sep 30,</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0"/>
              </w:rPr>
              <w:t>Dec 31,</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Mar 31,</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Jun 30,</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Sep 30,</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Dec 31,</w:t>
            </w:r>
          </w:p>
        </w:tc>
      </w:tr>
      <w:tr>
        <w:trPr>
          <w:trHeight w:val="195"/>
        </w:trPr>
        <w:tc>
          <w:tcPr>
            <w:tcW w:w="1940" w:type="dxa"/>
            <w:vAlign w:val="bottom"/>
          </w:tcPr>
          <w:p>
            <w:pPr>
              <w:spacing w:after="0"/>
              <w:rPr>
                <w:sz w:val="17"/>
                <w:szCs w:val="17"/>
                <w:color w:val="auto"/>
              </w:rPr>
            </w:pPr>
          </w:p>
        </w:tc>
        <w:tc>
          <w:tcPr>
            <w:tcW w:w="6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7"/>
                <w:szCs w:val="17"/>
                <w:color w:val="auto"/>
              </w:rPr>
            </w:pPr>
          </w:p>
        </w:tc>
      </w:tr>
      <w:tr>
        <w:trPr>
          <w:trHeight w:val="120"/>
        </w:trPr>
        <w:tc>
          <w:tcPr>
            <w:tcW w:w="194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Number of customer</w:t>
            </w: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43"/>
        </w:trPr>
        <w:tc>
          <w:tcPr>
            <w:tcW w:w="1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accounts (in thousands)</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2,060.5</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2,119.1</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2,147.9</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2,195.7</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2,247.4</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2,307.9</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2,368.0</w:t>
            </w: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2,449.3</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2,526.7</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2,579.4</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2,618.7</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2,657.5</w:t>
            </w:r>
          </w:p>
        </w:tc>
      </w:tr>
      <w:tr>
        <w:trPr>
          <w:trHeight w:val="127"/>
        </w:trPr>
        <w:tc>
          <w:tcPr>
            <w:tcW w:w="194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Number of customers with</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19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deposits (in thousands)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811.9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840.9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865.5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904.6</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933.4</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982.3</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1,032.8</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1,092.0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1,152.9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1,192.7</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1,224.2</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1,253.9</w:t>
            </w:r>
          </w:p>
        </w:tc>
      </w:tr>
      <w:tr>
        <w:trPr>
          <w:trHeight w:val="127"/>
        </w:trPr>
        <w:tc>
          <w:tcPr>
            <w:tcW w:w="194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2"/>
                <w:szCs w:val="12"/>
                <w:color w:val="auto"/>
              </w:rPr>
              <w:t>Number of trading</w:t>
            </w: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3"/>
        </w:trPr>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customers (in thousands)</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580.0</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596.3</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609.1</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627.1</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642.3</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668.6</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725.4</w:t>
            </w: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760.9</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804.4</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840.3</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868.0</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892.9</w:t>
            </w:r>
          </w:p>
        </w:tc>
      </w:tr>
      <w:tr>
        <w:trPr>
          <w:trHeight w:val="127"/>
        </w:trPr>
        <w:tc>
          <w:tcPr>
            <w:tcW w:w="1940" w:type="dxa"/>
            <w:vAlign w:val="bottom"/>
          </w:tcPr>
          <w:p>
            <w:pPr>
              <w:spacing w:after="0" w:line="127" w:lineRule="exact"/>
              <w:rPr>
                <w:sz w:val="20"/>
                <w:szCs w:val="20"/>
                <w:color w:val="auto"/>
              </w:rPr>
            </w:pPr>
            <w:r>
              <w:rPr>
                <w:rFonts w:ascii="Times New Roman" w:cs="Times New Roman" w:eastAsia="Times New Roman" w:hAnsi="Times New Roman"/>
                <w:sz w:val="11"/>
                <w:szCs w:val="11"/>
                <w:color w:val="auto"/>
              </w:rPr>
              <w:t xml:space="preserve">Total account balance </w:t>
            </w:r>
            <w:r>
              <w:rPr>
                <w:rFonts w:ascii="Times New Roman" w:cs="Times New Roman" w:eastAsia="Times New Roman" w:hAnsi="Times New Roman"/>
                <w:sz w:val="14"/>
                <w:szCs w:val="14"/>
                <w:color w:val="auto"/>
                <w:vertAlign w:val="superscript"/>
              </w:rPr>
              <w:t>(1)(3)</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19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(in US$millions)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16,128.5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17,269.4</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18,878.5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30,597.5</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32,872.1</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38,188.6</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40,763.6</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41,725.2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45,861.9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52,056.3</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61,037.7</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60,806.7</w:t>
            </w:r>
          </w:p>
        </w:tc>
      </w:tr>
      <w:tr>
        <w:trPr>
          <w:trHeight w:val="127"/>
        </w:trPr>
        <w:tc>
          <w:tcPr>
            <w:tcW w:w="194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1"/>
                <w:szCs w:val="11"/>
                <w:color w:val="auto"/>
              </w:rPr>
              <w:t xml:space="preserve">Trading volume </w:t>
            </w:r>
            <w:r>
              <w:rPr>
                <w:rFonts w:ascii="Times New Roman" w:cs="Times New Roman" w:eastAsia="Times New Roman" w:hAnsi="Times New Roman"/>
                <w:sz w:val="14"/>
                <w:szCs w:val="14"/>
                <w:color w:val="auto"/>
                <w:vertAlign w:val="superscript"/>
              </w:rPr>
              <w:t>(3)</w:t>
            </w:r>
            <w:r>
              <w:rPr>
                <w:rFonts w:ascii="Times New Roman" w:cs="Times New Roman" w:eastAsia="Times New Roman" w:hAnsi="Times New Roman"/>
                <w:sz w:val="11"/>
                <w:szCs w:val="11"/>
                <w:color w:val="auto"/>
              </w:rPr>
              <w:t xml:space="preserve"> (in</w:t>
            </w: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3"/>
        </w:trPr>
        <w:tc>
          <w:tcPr>
            <w:tcW w:w="1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US$millions)</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67,044.1</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65,135.9</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80,250.7</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81,765.2</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85,410.6</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105,860.0</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162,990.0</w:t>
            </w: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w w:val="99"/>
              </w:rPr>
              <w:t>198,016.9</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217,453.6</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284,038.2</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209,421.4</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316,599.0</w:t>
            </w:r>
          </w:p>
        </w:tc>
      </w:tr>
      <w:tr>
        <w:trPr>
          <w:trHeight w:val="111"/>
        </w:trPr>
        <w:tc>
          <w:tcPr>
            <w:tcW w:w="194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Daily average trading</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04"/>
        </w:trPr>
        <w:tc>
          <w:tcPr>
            <w:tcW w:w="19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volume</w:t>
            </w:r>
            <w:r>
              <w:rPr>
                <w:rFonts w:ascii="Times New Roman" w:cs="Times New Roman" w:eastAsia="Times New Roman" w:hAnsi="Times New Roman"/>
                <w:sz w:val="15"/>
                <w:szCs w:val="15"/>
                <w:color w:val="auto"/>
                <w:vertAlign w:val="superscript"/>
              </w:rPr>
              <w:t>(2)(3)</w:t>
            </w:r>
            <w:r>
              <w:rPr>
                <w:rFonts w:ascii="Times New Roman" w:cs="Times New Roman" w:eastAsia="Times New Roman" w:hAnsi="Times New Roman"/>
                <w:sz w:val="12"/>
                <w:szCs w:val="12"/>
                <w:color w:val="auto"/>
              </w:rPr>
              <w:t xml:space="preserve"> (in US$millions)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1,099.1</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1,033.9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1,253.9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1,277.6</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1,314.0</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1,628.6</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2,469.5</w:t>
            </w:r>
          </w:p>
        </w:tc>
        <w:tc>
          <w:tcPr>
            <w:tcW w:w="14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3,000.3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3,397.7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4,369.8</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3,173.1</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4,797.0</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balance of all customers’ deposits on our platform as of the respective date.</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average number of trading days during the period of the U.S. and Hong Kong exchanges.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423,902 of our customers had conducted at least one trading transaction on our platform in the preceding 12 months.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Platform Interface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user interface of our trading platform compartmentalizes services into six major functions: home, quotes, wealth, news, portfolio and profile.</w:t>
      </w:r>
    </w:p>
    <w:p>
      <w:pPr>
        <w:spacing w:after="0" w:line="223" w:lineRule="exact"/>
        <w:rPr>
          <w:sz w:val="20"/>
          <w:szCs w:val="20"/>
          <w:color w:val="auto"/>
        </w:rPr>
      </w:pPr>
    </w:p>
    <w:p>
      <w:pPr>
        <w:jc w:val="both"/>
        <w:ind w:left="760" w:hanging="378"/>
        <w:spacing w:after="0" w:line="267"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Home. </w:t>
      </w:r>
      <w:r>
        <w:rPr>
          <w:rFonts w:ascii="Times New Roman" w:cs="Times New Roman" w:eastAsia="Times New Roman" w:hAnsi="Times New Roman"/>
          <w:sz w:val="18"/>
          <w:szCs w:val="18"/>
          <w:color w:val="auto"/>
        </w:rPr>
        <w:t>The homepage supports users in configuring modules according to their preferences, enabling them to quickly view their holdings,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 movers stocks, set up auto-invest, and browse trading orders shared by trade feed. The homepage offers a total of 20+ modules for users to choose from.</w:t>
      </w:r>
    </w:p>
    <w:p>
      <w:pPr>
        <w:spacing w:after="0" w:line="173" w:lineRule="exact"/>
        <w:rPr>
          <w:rFonts w:ascii="Times New Roman" w:cs="Times New Roman" w:eastAsia="Times New Roman" w:hAnsi="Times New Roman"/>
          <w:sz w:val="18"/>
          <w:szCs w:val="18"/>
          <w:color w:val="auto"/>
        </w:rPr>
      </w:pPr>
    </w:p>
    <w:p>
      <w:pPr>
        <w:ind w:left="760" w:right="20" w:hanging="378"/>
        <w:spacing w:after="0" w:line="284"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Quotes. </w:t>
      </w:r>
      <w:r>
        <w:rPr>
          <w:rFonts w:ascii="Times New Roman" w:cs="Times New Roman" w:eastAsia="Times New Roman" w:hAnsi="Times New Roman"/>
          <w:sz w:val="18"/>
          <w:szCs w:val="18"/>
          <w:color w:val="auto"/>
        </w:rPr>
        <w:t>On the quotes page, users can view their watchlist, explore popular assets in various markets, check the release schedule of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financial reports and other important economic calendars, and track trends of major global indices.</w:t>
      </w:r>
    </w:p>
    <w:p>
      <w:pPr>
        <w:spacing w:after="0" w:line="158"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News. </w:t>
      </w:r>
      <w:r>
        <w:rPr>
          <w:rFonts w:ascii="Times New Roman" w:cs="Times New Roman" w:eastAsia="Times New Roman" w:hAnsi="Times New Roman"/>
          <w:sz w:val="18"/>
          <w:szCs w:val="18"/>
          <w:color w:val="auto"/>
        </w:rPr>
        <w:t>We offer real-time, curated news covering global markets, company updates, and macro trends. Content is organized into breaking news,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trending topics tied to major events, and editors’ picks featuring high-quality analysis, helping investors quickly grasp key insights and make informed decisions.</w:t>
      </w:r>
    </w:p>
    <w:p>
      <w:pPr>
        <w:spacing w:after="0" w:line="173" w:lineRule="exact"/>
        <w:rPr>
          <w:rFonts w:ascii="Times New Roman" w:cs="Times New Roman" w:eastAsia="Times New Roman" w:hAnsi="Times New Roman"/>
          <w:sz w:val="18"/>
          <w:szCs w:val="18"/>
          <w:color w:val="auto"/>
        </w:rPr>
      </w:pPr>
    </w:p>
    <w:p>
      <w:pPr>
        <w:jc w:val="both"/>
        <w:ind w:left="760" w:hanging="378"/>
        <w:spacing w:after="0" w:line="290" w:lineRule="auto"/>
        <w:tabs>
          <w:tab w:leader="none" w:pos="7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Wealth. </w:t>
      </w:r>
      <w:r>
        <w:rPr>
          <w:rFonts w:ascii="Times New Roman" w:cs="Times New Roman" w:eastAsia="Times New Roman" w:hAnsi="Times New Roman"/>
          <w:sz w:val="17"/>
          <w:szCs w:val="17"/>
          <w:color w:val="auto"/>
        </w:rPr>
        <w:t>Wealth integrates a wide spectrum of products, high-quality financial assets, convenient functions and interaction. Including the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offer, such as global Mutual Funds (including Money Market Funds, Fixed Income Funds, Equity Funds, Hybrid Funds, etc.), US Treasurys, Structured Notes, High-Net-Wealth Products, Auto-Sweep Vault (underlying T0 and T1 Money Market Funds), ETFs, and other products.</w:t>
      </w:r>
    </w:p>
    <w:p>
      <w:pPr>
        <w:spacing w:after="0" w:line="155" w:lineRule="exact"/>
        <w:rPr>
          <w:rFonts w:ascii="Times New Roman" w:cs="Times New Roman" w:eastAsia="Times New Roman" w:hAnsi="Times New Roman"/>
          <w:sz w:val="17"/>
          <w:szCs w:val="17"/>
          <w:color w:val="auto"/>
        </w:rPr>
      </w:pPr>
    </w:p>
    <w:p>
      <w:pPr>
        <w:ind w:left="760" w:hanging="378"/>
        <w:spacing w:after="0" w:line="284"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Portfolio. </w:t>
      </w:r>
      <w:r>
        <w:rPr>
          <w:rFonts w:ascii="Times New Roman" w:cs="Times New Roman" w:eastAsia="Times New Roman" w:hAnsi="Times New Roman"/>
          <w:sz w:val="18"/>
          <w:szCs w:val="18"/>
          <w:color w:val="auto"/>
        </w:rPr>
        <w:t>The Portfolio feature supports users in viewing their total assets, cash balance, maximum purchasing power, profit charts and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users can analyze their profit and loss.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760" w:hanging="378"/>
        <w:spacing w:after="0" w:line="267"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Profile</w:t>
      </w:r>
      <w:r>
        <w:rPr>
          <w:rFonts w:ascii="Times New Roman" w:cs="Times New Roman" w:eastAsia="Times New Roman" w:hAnsi="Times New Roman"/>
          <w:sz w:val="18"/>
          <w:szCs w:val="18"/>
          <w:color w:val="auto"/>
        </w:rPr>
        <w:t>. The profile page allows users to modify their general settings, such as language, theme, and quote settings. Users can also quickly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feedback on product issues, contact customer service and access the help center. Additionally, users can participate in various activities and claim rewards.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Accounts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also partner with other clearing agents, we cooperate with Interactive Brokers to execute, settle and clear a small portion of the trades of the U.S. and Hong Kong stocks and other financial instruments, and to comply with certain federal, state and other laws, as discussed in more details in Item 4.B “Business Overview-Our Core Products and Services-Revenue Models.” There are two main account types on our platform, consolidated accounts and fully disclosed accounts, depending on the cooperative model with our clearing agents.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consolidated accounts, our customers only open accounts and place trades with our platform. We are responsible for the “know your client”, or KYC, and anti-money laundering, or AML, procedures including customer identity verification, account approval and disapproval, record keeping, monitoring and supervision of the accounts and other compliance functions, which are no less stringent than the procedures performed for fully disclosed account customers. We work with Interactive Brokers primarily, as well as other agents and our subsidiary TradeUP Securities for order execution, clearing and settlement services. Consolidated accounts offer more functions, products and services than fully disclosed accounts, such as innovative financial instruments. With our advanced technology and third party database, the account opening process for consolidated accounts is more efficient and smooth.</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fully disclosed accounts, we provide a user-friendly trading interface and infrastructure for the customers and we engage Interactive Brokers to perform the execution, clearing and settlement services. We are responsible for technical support, customer service and marketing to the fully disclosed account customers. We also perform our own KYC procedures to verify the identity and financial condition of potential customers. In addition to the account on our platform, each of our customers also open a corresponding account with Interactive Brokers. Interactive Brokers is required to perform key functions in respect of KYC and AML procedures including customer identities verification, account approval and disapprovals and continuing monitoring and supervision of the accounts.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Models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derive a significant portion of our revenues from our brokerage services through commission fees we charge our customers and interest income or financing service fees arising from or related to margin loans or securities borrowing and lending transactions services provided to customers by ourselves or third parties for trading activities.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revenues from commission fees are generated by customer trades and are largely determined by trading volume and commission rates. We charge commission fees based on the amount of transaction volume, or the number of shares, lots or contracts in each order. We from time to time award discounted or even zero commission fees to new or existing customers as part of our marketing scheme, thus attracting more customers and boosting customer stickiness.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agreement with our clearing agent, Interactive Brokers, we receive a portion of commission fees paid by our customers every time Interactive Brokers executes and clears a trade order. For consolidated accounts, we receive commission and pay a pre-determined portion to Interactive Brokers and other clearing partners as execution and clearing fees. In the meantime, we also use TradeUP Securities, one of our subsidiaries with clearing license to execute and clear client trades and pay a pre-determined portion to corresponding clearing counterparties. For fully disclosed accounts, every time Interactive Brokers executes and clears a trade, it collects the commission, deducts the execution and clearing fees and returns the rest of the commission fees to us.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can also trade on margin and short sell securities on our trading platform. The minimum deposit that customers must have to open and maintain a margin account so as to conduct margin trading and securities borrowing and lending transactions is currently set by Interactive Brokers for fully disclosed account at US$2,000. The margin loan or funding is offered by our platform for consolidated account customers and by Interactive Brokers for fully disclosed account customers. We generate interest income arising from margin financing offered by us to consolidated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customers and earn financing service fees related to the margin financing provided by Interactive Brokers to our customers.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adopt diversified pricing terms to better serve our customers with individualized needs. The commissions we charge generally vary in accordance with the type of products or services discussed above as well as timing of account activation, eligibility for discounts and other factors. For margin loans, we charge a specific interest rate on margin loans provided by us, or a markup above the interest rate of the margin loans provided by our clearing agents.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Institutional and Corporate Services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2025, we continued to expand a number of innovative services in order to attract new customers as well as to serve existing customers whom we expect to have a greater chance of cross-selling products or services. We provide ESOP management services to soon-to-be listed and listed companies which enable them and their employees to manage their equity incentive schemes in a convenient and simplified manner. Our customer representatives work together with these companies to build a repository of equity incentive awards in our proprietary ESOP management system. We then help companies manage the vesting and exercise of their equity incentive awards as well as educating company employees about ESOP. Overall, we have worked with over 748 corporate clients by the end of the year of 2025, including 39 new clients added in the fourth quarter of 2025.</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Drawing on our extensive knowledge of global financial markets, we provide a one-stop fund incubation service for small and medium-sized buy-side clients, enabling them to establish offshore funds in a cost-effective manner. Our service covers the full process, from fund license application, product design, and asset custody through to transaction execution and capital allocation. In evaluating each mandate, we give careful consideration to vehicle structure, jurisdictional requirements, and how the proposed fund compares with existing offerings in the market. Fund structuring and management services are generally provided on a complimentary basis, in exchange for clients' support in promoting our products and services. In 2025, we extended these capabilities to include OFC structuring in Hong Kong, complementing the investment immigration and family office services available to high net worth clients.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the Company participated in 35 Hong Kong IPOs. Additionally, among the pre-filed US-listed companies in 2025, it acted as the lead underwriter for 11 companies, securing the top spot in terms of quantity. Since venturing into investment banking, the Company has participated in underwriting over 230 companies for listings in Hong Kong and the US, leading the industry in both quantity and recognition.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we provide investor relations service to issuers, to help companies manage their ongoing relationships with shareholders, including comprehensive stock data and corporate information via our investor-facing homepage, investor education, community events, video broadcasting and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Margin Financing and Securities Lending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margin financing and securities lending services provide real-time, cross-market securities-backed financing to our clients. We have grown these services rapidly since introduction, a reflection, we believe, of both our ability to cross-sell as well as our clients’ receptivity to increasingly sophisticated investing tools delivered seamlessly.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offer margin financing to clients who trade securities listed on the Hong Kong Stock Exchange, Singapore Exchange and the major stock exchanges in the U.S. as well as qualified securities under the Hong Kong, Shanghai and Shenzhen Stock Connect. All financing extended to our clients is secured by acceptable securities pledged to us. Our trading system can automatically pledge cross-market account assets so that the value in a client’s multiple trading accounts, which may include cash in different currencies and acceptable securities listed on these markets, will be aggregated when calculating the value of the client’s collateral. In particular, this provides significant efficiencies as it eliminates the costs and procedures involved in cross-market currency translation or exchange.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clients are eligible for margin financing services when they hold securities that are acceptable as pledges to us in their accounts. The credit line for each eligible client is determined based on the securities across all of his or her trading accounts. The margin financing services for eligible margin financing clients are activated automatically, when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funds in their accounts are not sufficient to purchase the desired securities and there is still sufficient balance in their credit lines.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list of securities acceptable as collateral to us and their respective margin ratios are regularly updated and shared with our clients. Our risk management team determines the margin ratio for each of the acceptable securities based on the trading frequency, fundamentals, historical price fluctuations and general market volatility. We also reference the financing terms of major financial institutions in establishing our margin ratios, and we typically find our margin ratios to be equal or higher. We believe this has differentiated our prudent risk controls. Our margin ratios are monitored in real-time and our risk management team reviews and adjusts the margin ratio for each acceptable security on a regular basis and more frequently in the case of a significant and rapid price decline.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clients who trade securities listed on the major stock exchanges in Hong Kong, Singapore and the U.S., we offer securities lending services by lending securities we obtain from our securities lending partner. This service allows our clients to pursue short-selling strategies. To borrow securities, our clients must pledge cash or acceptable securities from in-house trading accounts. When we launched our margin financing business, we financed mostly from our own working capital and retained earnings. We have diversified the source of our financing through collaboration with our financial institution partners where we can combine collateral from our clients into portfolios and pledge the portfolios to financial institutions for commercial loans.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and Wealth Management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asset management and wealth management segment delivered strong growth in 2025, as client relationships deepened, the product suite expanded, and momentum accelerated across markets. Wealth product penetration continued to rise — on our fully-licensed platforms, one in every five newly funded clients utilized wealth management services during the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Tiger Wealth, as the first-level entrance of our APP, provides investors with a seamless cross-market platform for multi-asset-class wealth management. In 2025, we expanded our structured product suite, completed an important regulatory milestone in Hong Kong, and continued to build out our high-net-worth service capabilities. Key developments include:</w:t>
      </w:r>
    </w:p>
    <w:p>
      <w:pPr>
        <w:spacing w:after="0" w:line="174" w:lineRule="exact"/>
        <w:rPr>
          <w:sz w:val="20"/>
          <w:szCs w:val="20"/>
          <w:color w:val="auto"/>
        </w:rPr>
      </w:pPr>
    </w:p>
    <w:p>
      <w:pPr>
        <w:jc w:val="both"/>
        <w:ind w:left="760" w:hanging="378"/>
        <w:spacing w:after="0" w:line="284"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Management</w:t>
      </w:r>
      <w:r>
        <w:rPr>
          <w:rFonts w:ascii="Times New Roman" w:cs="Times New Roman" w:eastAsia="Times New Roman" w:hAnsi="Times New Roman"/>
          <w:sz w:val="18"/>
          <w:szCs w:val="18"/>
          <w:color w:val="auto"/>
        </w:rPr>
        <w:t>. Tiger Vault sustained strong growth in 2025, with overall AUC growing 94.3% year-over-year to USD 1.94 billion.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Hong Kong market was a particular highlight, with AUC growing 265% year-over-year and emerging as a meaningful driver of segment growth.</w:t>
      </w:r>
    </w:p>
    <w:p>
      <w:pPr>
        <w:spacing w:after="0" w:line="158"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Structured Product</w:t>
      </w:r>
      <w:r>
        <w:rPr>
          <w:rFonts w:ascii="Times New Roman" w:cs="Times New Roman" w:eastAsia="Times New Roman" w:hAnsi="Times New Roman"/>
          <w:sz w:val="18"/>
          <w:szCs w:val="18"/>
          <w:color w:val="auto"/>
        </w:rPr>
        <w:t>. We expanded the structured note product suite during the year to include BEN, Sharkfin, DQ, DRAN, SCN, Note-form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VAN, and PNote, broadening the range of yield enhancement and risk management tools available to clients across different market conditions. Client adoption accelerated sharply through the year; structured note trading volume grew 654% year-over-year to USD 503 million, with the number of active trading accounts growing multiple times year-over-year.</w:t>
      </w:r>
    </w:p>
    <w:p>
      <w:pPr>
        <w:spacing w:after="0" w:line="179" w:lineRule="exact"/>
        <w:rPr>
          <w:rFonts w:ascii="Times New Roman" w:cs="Times New Roman" w:eastAsia="Times New Roman" w:hAnsi="Times New Roman"/>
          <w:sz w:val="18"/>
          <w:szCs w:val="18"/>
          <w:color w:val="auto"/>
        </w:rPr>
      </w:pPr>
    </w:p>
    <w:p>
      <w:pPr>
        <w:ind w:left="760" w:right="20" w:hanging="378"/>
        <w:spacing w:after="0" w:line="284"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Public fund AUC grew 99% year-over-year to USD 2.1 billion in 2025, with the user base expanding 47.2% over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reflecting continued growth in client adoption of fund-based investment solutions.</w:t>
      </w:r>
    </w:p>
    <w:p>
      <w:pPr>
        <w:spacing w:after="0" w:line="158"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High-Net-Worth Services</w:t>
      </w:r>
      <w:r>
        <w:rPr>
          <w:rFonts w:ascii="Times New Roman" w:cs="Times New Roman" w:eastAsia="Times New Roman" w:hAnsi="Times New Roman"/>
          <w:sz w:val="18"/>
          <w:szCs w:val="18"/>
          <w:color w:val="auto"/>
        </w:rPr>
        <w:t>. Hong Kong was a key area of strategic focus in 2025. The Company was among the first platforms to offer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immigration services in the market, developing a fully integrated offering that brings together immigration advisory, fund structuring, and asset management. At the core of this model is the Open-ended Fund Company (OFC) structure, which we pair with investment immigration mandates to provide clients with a coordinated solution spanning both residency planning and wealth deployment — a dual-engine approach that has gained clear traction. As of March 31, 2026, 37 clients have been onboarded through this program, with AUC reaching USD 120 million. Discretionary portfolio mandates continued to grow steadily across Singapore and Hong Kong, and we further developed our family office capabilities to support clients with more comprehensive, multi-generational wealth planning needs.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760" w:hanging="378"/>
        <w:spacing w:after="0" w:line="26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 Enhancement — Hong Kong Type 9. </w:t>
      </w:r>
      <w:r>
        <w:rPr>
          <w:rFonts w:ascii="Times New Roman" w:cs="Times New Roman" w:eastAsia="Times New Roman" w:hAnsi="Times New Roman"/>
          <w:sz w:val="18"/>
          <w:szCs w:val="18"/>
          <w:color w:val="auto"/>
        </w:rPr>
        <w:t>Our Hong Kong entity received SFC approval to hold a higher proportion of virtual assets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discretionary portfolios under our Type 9 (Asset Management) license, exceeding the 10% threshold that typically applies. This regulatory milestone provides greater flexibility to meet growing institutional and high-net-worth demand for digital asset allocation within a fully regulated framework.</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Singapore Asset Management (TFM). </w:t>
      </w:r>
      <w:r>
        <w:rPr>
          <w:rFonts w:ascii="Times New Roman" w:cs="Times New Roman" w:eastAsia="Times New Roman" w:hAnsi="Times New Roman"/>
          <w:sz w:val="18"/>
          <w:szCs w:val="18"/>
          <w:color w:val="auto"/>
        </w:rPr>
        <w:t>Tiger Fund Management in Singapore delivered a strong performance in 2025, with AUM growing 274%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year-over-year to USD 458 million. The business continued to attract quality mandates and deepen client relationships, reinforcing Singapore's position as the cornerstone of our regional wealth management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institutional front, we continued to iterate our turnkey asset management platform, “TradingFront,” for financial advisory firms and asset managers in Singapore and Hong Kong. Addressing the industry's current pain points such as complex client onboarding requirements, cumbersome account opening processes, limited trading options, and low transaction settlement efficiency, this platform offers flexible account structures, fully online account opening, multi-market and multi-asset trading, extensive analysis and trading tools, and diversified reporting. In 2025, we continued to strengthen our position as a premier platform for financial advisers and external asset managers in Singapore. Our strategic efforts in expanding institutional partnerships led to a significant increase in both the number of onboarded advisers and total assets under custody (AUC). The AUC in 2025 increased by 200% year-over-year compared to 2024, reflecting strong client engagement. Looking ahead, we remain committed to strengthening our financial advisers and external asset managers ecosystem by expanding our network of institutional partners, introducing tailored investment solutions, and continuously enhancing platform capabilities. Our focus remains on driving sustainable growth while delivering best-in-class services to our institutional partners.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Supported by a team with rich experience in business and services, our integration of cutting-edge technology with human expertise has solidified our position as a trusted partner, reinforcing our competitive stance within the financial sector.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Complementary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 key attraction of our trading platform is the complementary services we embed in our trading platform’s functions. The major complementary services are market information, community engagement, investor education and simulated trading, which work together to help our customers make informed investment decisions.</w:t>
      </w:r>
    </w:p>
    <w:p>
      <w:pPr>
        <w:spacing w:after="0" w:line="174" w:lineRule="exact"/>
        <w:rPr>
          <w:sz w:val="20"/>
          <w:szCs w:val="20"/>
          <w:color w:val="auto"/>
        </w:rPr>
      </w:pPr>
    </w:p>
    <w:p>
      <w:pPr>
        <w:jc w:val="both"/>
        <w:ind w:left="760" w:hanging="378"/>
        <w:spacing w:after="0" w:line="267"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information</w:t>
      </w:r>
      <w:r>
        <w:rPr>
          <w:rFonts w:ascii="Times New Roman" w:cs="Times New Roman" w:eastAsia="Times New Roman" w:hAnsi="Times New Roman"/>
          <w:sz w:val="18"/>
          <w:szCs w:val="18"/>
          <w:color w:val="auto"/>
        </w:rPr>
        <w:t>. We provide comprehensive market information to our customers, including real-time price quotes from various exchanges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international markets, technical indicators and macroeconomic data. Our customers can either select market information by browsing under the exchanges they are interested in researching or using the search function to find a specific security.</w:t>
      </w:r>
    </w:p>
    <w:p>
      <w:pPr>
        <w:spacing w:after="0" w:line="17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Community engagement</w:t>
      </w:r>
      <w:r>
        <w:rPr>
          <w:rFonts w:ascii="Times New Roman" w:cs="Times New Roman" w:eastAsia="Times New Roman" w:hAnsi="Times New Roman"/>
          <w:sz w:val="18"/>
          <w:szCs w:val="18"/>
          <w:color w:val="auto"/>
        </w:rPr>
        <w:t>. We have built our “Tiger Community” consisting of live discussion boards for our customers to communicate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community team and among themselves regarding market trends, investment opportunities and other related topics. Discussion boards are broken down into hot topics that are tailored to major market events and editors’ picks representing substantive and analytical posts that add value to the investor community.</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Investor education</w:t>
      </w:r>
      <w:r>
        <w:rPr>
          <w:rFonts w:ascii="Times New Roman" w:cs="Times New Roman" w:eastAsia="Times New Roman" w:hAnsi="Times New Roman"/>
          <w:sz w:val="18"/>
          <w:szCs w:val="18"/>
          <w:color w:val="auto"/>
        </w:rPr>
        <w:t>. We have developed “Tiger Academy,” which is a set of educational programs designed to target customers with a variety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levels trading in stocks and other financial instruments. Our educational programs include basic rules and processes of trading, fundamental analysis methods and technical analysis methods. We offer online lectures and live video programs produced in-house covering a variety of topics.</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Simulated trading</w:t>
      </w:r>
      <w:r>
        <w:rPr>
          <w:rFonts w:ascii="Times New Roman" w:cs="Times New Roman" w:eastAsia="Times New Roman" w:hAnsi="Times New Roman"/>
          <w:sz w:val="18"/>
          <w:szCs w:val="18"/>
          <w:color w:val="auto"/>
        </w:rPr>
        <w:t>. We enable users who have signed up on our trading platform to practice their stock-picking and trading skills without actually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any money. Users can log on, set up a paper account and use a predetermined amount of simulated funds to make simulated investments.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Users and Customers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classify those who have registered on our platform as our users and those who have opened accounts on our platform as customers. Our customers include individual customers, corporate customers and institutional customers.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attracted a young, affluent, and highly engaged user base with frequent trading pattern base on our trading platform. Our users and customers are generally sophisticated Chinese investors living in and outside China with relatively higher risk tolerance.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and 2025, the aggregate of account balance amounted to US$41.7 billion and US$60.8 billion, respectively. Our customers can open and activate trading accounts through our APP which can be downloaded for free from APP stores or through our website. After filling in personal information online, our customers are required to complete a series of questions and upload various documents to verify their identity and assess potential risks.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experienced significant growth in both number of customers and trading volume due to our reliable and secure trading platform, comprehensive brokerage and value-added services and superior user experience. The total customer accounts increased from 18,697 as of March 31, 2016 to 2,657,544 as of December 31, 2025, representing a compounded quarterly growth rate of 17.3%. The daily average trading volume increased from US$22.7 million during the first quarter of 2016 to US$4,946.9 million during the fourth quarter of 2025, representing a compounded quarterly growth rate of 19.0%.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Branding, Customer Development and Customer Support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attract and retain customers to use our trading platform through marketing and branding, customer development and customer support.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Branding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 targeted branding and marketing to attract potential customers using both online and traditional marketing channels. Our online marketing activities mainly include Internet search engine results and advertisements on websites focused on trading and finance. We also actively conduct marketing for our trading platform through APP stores. In addition, we promote our brand and trading platform through our corporate accounts on popular interactive social media platform. We benefit from cross-branding arrangements with third-party websites, and influential social media accounts, under which we cooperate to help improve each other’s brand recognition. We specialize in utilizing social media to strengthen our brand equity, enhance our competitive advantages and expand our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regularly initiate branding activities to promote our brand awareness among existing and potential customers around the world. We provide the technical backbone to many leading online platforms that allow their own users to analyze and trade U.S. and Hong Kong securities. As a result of the superior functionalities of our trading platform and our position as an independent platform with capability to trade U.S. and Hong Kong securities, we have been chosen by some well-known platforms as their business partner. These partnerships have enabled us to access a wider user base and scale up in a cost-efficient manner.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focus on investing in cost-effective marketing initiatives and regularly evaluating the effectiveness of various marketing channels to optimize the allocation of our marketing resources. All customer acquisitions are tracked and analyzed based on profitability on a regular basis so that adjustments can quickly be made to our marketing efforts. We focus on continuously improving the quality of our products and services as we believe satisfied customers are more likely to recommend our trading platform to other potential customers. We incurred marketing and branding expenses of US$20.9 million, US$28.5 million and US$49.5 million in 2023, 2024 and 2025, respectively, accounting for 7.7%, 7.3% and 8.1%, respectively, of total revenues for the same periods.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users and potential customers can initiate contact with us through phone call and online message. To further build the relationships, our business and customer support team generally follow up with customers to respond to their questions about our trading platform, our products and our business in general.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use data analytics tools to identify users who are more likely to open trading accounts with us through an analysis of communication history and platform usage records, thus improving the effectiveness of our customer development and customer conversion. We also implement a member-to-member referral bonus system for existing customers who introduce new customers to our trading platform so both the introducer and the introduced receive bonus funds for commission-free trading.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Support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take pride in the level and quality of customer services we provide. We have a dedicated team of customer support personnel that handles customer inquiries about our trading platform via phone call and online message. Our business and customer support team consisted of 244 employees as of December 31, 2025 and operates for around 20 hours every trading day to serve our customers across the world.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implement stringent internal policies and training programs regulating how our customer representatives communicate with and serve our customers. Our compliance team also regularly monitors communications between our customer representatives and customers to maximize the level of satisfaction from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and Infrastructure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proprietary technology is critical to our goal of providing the most user-friendly trading experience at the best value to our customers. Over the past years, we have developed an integrated trading platform to create an efficient conduit for the global flow of capital across securities on electronic exchanges around the world, while at the same time maintaining one of the lowest fee schemes in the industry. We strongly believe in developing and continuing to enhance our proprietary technology to adapt quickly to the changing environment and regulatory change of our industry and to take advantage of opportunities presented by new exchanges or new product lines ahead of our competitors.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Platform Interface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trading platform allows our customers to execute trades in an efficient, secure, reliable and user-friendly manner. Customer trades are both automatically captured and reported in real time to our trading platform. Users can search for and download our trading platform on APP stores through their mobile devices, or simply trade on our website. It generally takes less than five minutes to register and submit the application required to open an account on our platform. Once our customers open accounts on our platform, they will be directed to link a payment method for making deposits into their accounts. We perform biweekly updates to our trading platform and had updated over 150 versions.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Back-end System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proprietary and robust back-end system, which is able to support major aspects of our business operation, and our comprehensive product offerings. Our back-end system ensures the safety, stability, smoothness and speed of transactions on our trading platform. For example, we receive, process and distribute stock quote data at a speed on average 71,200 units per second at its peak. Our back-end system is able to facilitate trades in a secure and reliable manner by connecting seamlessly to our clearing agents.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Through our back-end system, we employ proprietary technology to automate functions including account management, market updates, order routing, seamless trading across securities and risk management. Our back-end system is built with the following features.</w:t>
      </w:r>
    </w:p>
    <w:p>
      <w:pPr>
        <w:spacing w:after="0" w:line="160" w:lineRule="exact"/>
        <w:rPr>
          <w:sz w:val="20"/>
          <w:szCs w:val="20"/>
          <w:color w:val="auto"/>
        </w:rPr>
      </w:pPr>
    </w:p>
    <w:p>
      <w:pPr>
        <w:ind w:left="760" w:hanging="378"/>
        <w:spacing w:after="0" w:line="284"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 availability</w:t>
      </w:r>
      <w:r>
        <w:rPr>
          <w:rFonts w:ascii="Times New Roman" w:cs="Times New Roman" w:eastAsia="Times New Roman" w:hAnsi="Times New Roman"/>
          <w:sz w:val="18"/>
          <w:szCs w:val="18"/>
          <w:color w:val="auto"/>
        </w:rPr>
        <w:t>. Our back-end system supports an infrastructure and application architecture with high-level SLA which guarantees that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can connect and trade at any time to avoid missing any fleeting opportunities in the market.</w:t>
      </w:r>
    </w:p>
    <w:p>
      <w:pPr>
        <w:spacing w:after="0" w:line="15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 reliability</w:t>
      </w:r>
      <w:r>
        <w:rPr>
          <w:rFonts w:ascii="Times New Roman" w:cs="Times New Roman" w:eastAsia="Times New Roman" w:hAnsi="Times New Roman"/>
          <w:sz w:val="18"/>
          <w:szCs w:val="18"/>
          <w:color w:val="auto"/>
        </w:rPr>
        <w:t>. It provides high accuracy in user data and market data, supported by both real-time and off-line calculations.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4"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Our system empowers systemized security measures such as strong encryption and two-factor authentication, in addition to disaster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recovery and business continuity plans.</w:t>
      </w:r>
    </w:p>
    <w:p>
      <w:pPr>
        <w:spacing w:after="0" w:line="158"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 performance and extensibility</w:t>
      </w:r>
      <w:r>
        <w:rPr>
          <w:rFonts w:ascii="Times New Roman" w:cs="Times New Roman" w:eastAsia="Times New Roman" w:hAnsi="Times New Roman"/>
          <w:sz w:val="18"/>
          <w:szCs w:val="18"/>
          <w:color w:val="auto"/>
        </w:rPr>
        <w:t>. It is able to handle millions of real time data at the peak, while supporting order execution and settlement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high throughput; enhanced to improve capacity for handling an increased load; and designed for easy modification, allowing us to increase system features, functions and capabilities efficiently.</w:t>
      </w:r>
    </w:p>
    <w:p>
      <w:pPr>
        <w:spacing w:after="0" w:line="173" w:lineRule="exact"/>
        <w:rPr>
          <w:rFonts w:ascii="Times New Roman" w:cs="Times New Roman" w:eastAsia="Times New Roman" w:hAnsi="Times New Roman"/>
          <w:sz w:val="18"/>
          <w:szCs w:val="18"/>
          <w:color w:val="auto"/>
        </w:rPr>
      </w:pPr>
    </w:p>
    <w:p>
      <w:pPr>
        <w:ind w:left="760" w:hanging="378"/>
        <w:spacing w:after="0" w:line="284"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Low latency</w:t>
      </w:r>
      <w:r>
        <w:rPr>
          <w:rFonts w:ascii="Times New Roman" w:cs="Times New Roman" w:eastAsia="Times New Roman" w:hAnsi="Times New Roman"/>
          <w:sz w:val="18"/>
          <w:szCs w:val="18"/>
          <w:color w:val="auto"/>
        </w:rPr>
        <w:t>. Our system boasts dedicated relay networks and system optimization tools that reduce end-to-end latency from customer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orders to the various exchanges.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proprietary back-end system boasts strong capabilities to handle customer information and trade orders. We designed our back-end system for easy modification, allowing us to increase system features, functions and capabilities efficiently as well as to handle a high volume of orders from customers at any one time. We ensure the security and integrity of all customer assets using various safeguards.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maintain formal business continuity policies and practices aimed at ensuring rapid recovery from any business or trade interruptions. We rank each of our services according to the risks associated with potential interruptions and have also established business recovery time objectives for our services. We regularly review and test our recovery plans and controls to ensure the effectiveness of such plans and controls in meeting our business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CRM System</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CRM system is the core IT system for customer development and support. Our CRM system allows us to centrally monitor and supervise customer communications, manage relationships with customers, and analyze important customer data:</w:t>
      </w:r>
    </w:p>
    <w:p>
      <w:pPr>
        <w:spacing w:after="0" w:line="160" w:lineRule="exact"/>
        <w:rPr>
          <w:sz w:val="20"/>
          <w:szCs w:val="20"/>
          <w:color w:val="auto"/>
        </w:rPr>
      </w:pPr>
    </w:p>
    <w:p>
      <w:pPr>
        <w:jc w:val="both"/>
        <w:ind w:left="760" w:hanging="378"/>
        <w:spacing w:after="0" w:line="267"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communications</w:t>
      </w:r>
      <w:r>
        <w:rPr>
          <w:rFonts w:ascii="Times New Roman" w:cs="Times New Roman" w:eastAsia="Times New Roman" w:hAnsi="Times New Roman"/>
          <w:sz w:val="18"/>
          <w:szCs w:val="18"/>
          <w:color w:val="auto"/>
        </w:rPr>
        <w:t>. Our CRM system is integrated with our phone calls and online messaging systems, which assists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to anticipate and solve questions for our customers as they can access customer information and data from the CRM system while communicating with customers.</w:t>
      </w:r>
    </w:p>
    <w:p>
      <w:pPr>
        <w:spacing w:after="0" w:line="173"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relationship management</w:t>
      </w:r>
      <w:r>
        <w:rPr>
          <w:rFonts w:ascii="Times New Roman" w:cs="Times New Roman" w:eastAsia="Times New Roman" w:hAnsi="Times New Roman"/>
          <w:sz w:val="18"/>
          <w:szCs w:val="18"/>
          <w:color w:val="auto"/>
        </w:rPr>
        <w:t>. Our CRM system also facilitates the management of account opening procedure, account status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 of customer complaints and other customer activities. Through the CRM system, our customer representatives can access customers’ communication history, their platform usage records and trading records.</w:t>
      </w:r>
    </w:p>
    <w:p>
      <w:pPr>
        <w:spacing w:after="0" w:line="173" w:lineRule="exact"/>
        <w:rPr>
          <w:rFonts w:ascii="Times New Roman" w:cs="Times New Roman" w:eastAsia="Times New Roman" w:hAnsi="Times New Roman"/>
          <w:sz w:val="18"/>
          <w:szCs w:val="18"/>
          <w:color w:val="auto"/>
        </w:rPr>
      </w:pPr>
    </w:p>
    <w:p>
      <w:pPr>
        <w:ind w:left="760" w:hanging="378"/>
        <w:spacing w:after="0" w:line="284"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analysis</w:t>
      </w:r>
      <w:r>
        <w:rPr>
          <w:rFonts w:ascii="Times New Roman" w:cs="Times New Roman" w:eastAsia="Times New Roman" w:hAnsi="Times New Roman"/>
          <w:sz w:val="18"/>
          <w:szCs w:val="18"/>
          <w:color w:val="auto"/>
        </w:rPr>
        <w:t>. Through our CRM system, we can analyze our customer’s communication history and trading records to enhance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operational efficiency.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develop our proprietary trading platform, back-end technology and CRM system internally and consider our expertise in the rapid development and deployment of new trading technology as one of our core strengths. We have a team of experienced engineers. The supervisors in charge of our research and technology department all graduated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prestigious universities and worked at well-established Internet and software companies before joining us. As of December 31, 2025, we have 593 staff members engaged in research and development-related work. Substantially all of them have a bachelor’s degree or above.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company is technology-focused, and our management team is technology-savvy. While a large number of members of the management team participate in writing detailed program specifications for new applications, and our senior executives personally track progress on programming projects, this enables us to prioritize key initiatives and achieve rapid turn-around on new projects.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current research and development efforts are focused on developing and improving, among other things, our trading capabilities, infrastructure technologies and customer data analysis technologies. To achieve optimal performance from our trading platform, we are regularly upgrading new versions, evaluating platform performance and performing quality assurance testing procedures.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activities expose us to various risks. Identifying, measuring and managing risks are critical to minimizing damages to our business, operations and financial condition. Our compliance and legal departments work together with management to identify and manage risks. We have implemented policies and procedures for identifying, measuring and managing risks, which include establishing threshold levels for our most significant risks. Our business exposes us to four broad categories of risks: customer-related risks, trading-related risks, operational risks as well as cyber and information security risks. We are also subject to other risks that could affect our business, financial condition, operations or cash flows in future periods. For additional information, please see Item 3.D “Risk Factors-Risks Related to Our Business and Industry-We may fail to update our risk management policies and procedures as needed and such policies and procedures may otherwise be ineffective, which may expose us to unidentified or unexpected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Customer-Related Risks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interact with customers on a daily basis, exposing us to risks of customers conducting money laundering activities, fraud and other financial crimes. We therefore implement rigorous KYC and AML measures to compile and periodically update customer profiles and to monitor activities. Once customers make deposits, we adopt the following safeguards to protect our customers’ assets:</w:t>
      </w:r>
    </w:p>
    <w:p>
      <w:pPr>
        <w:spacing w:after="0" w:line="174" w:lineRule="exact"/>
        <w:rPr>
          <w:sz w:val="20"/>
          <w:szCs w:val="20"/>
          <w:color w:val="auto"/>
        </w:rPr>
      </w:pPr>
    </w:p>
    <w:p>
      <w:pPr>
        <w:jc w:val="both"/>
        <w:ind w:left="760" w:hanging="378"/>
        <w:spacing w:after="0" w:line="267"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Segregation of customer and internal funds</w:t>
      </w:r>
      <w:r>
        <w:rPr>
          <w:rFonts w:ascii="Times New Roman" w:cs="Times New Roman" w:eastAsia="Times New Roman" w:hAnsi="Times New Roman"/>
          <w:sz w:val="18"/>
          <w:szCs w:val="18"/>
          <w:color w:val="auto"/>
        </w:rPr>
        <w:t>. We segregate all customer funds from our internal funds in accounts with a few reputable banks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Zealand, Singapore, Australia, Hong Kong and the U.S. for consolidated accounts. We perform a detailed reconciliation of our customers’ funds on a regular basis to ensure that such funds are properly segregated.</w:t>
      </w:r>
    </w:p>
    <w:p>
      <w:pPr>
        <w:spacing w:after="0" w:line="173" w:lineRule="exact"/>
        <w:rPr>
          <w:rFonts w:ascii="Times New Roman" w:cs="Times New Roman" w:eastAsia="Times New Roman" w:hAnsi="Times New Roman"/>
          <w:sz w:val="18"/>
          <w:szCs w:val="18"/>
          <w:color w:val="auto"/>
        </w:rPr>
      </w:pPr>
    </w:p>
    <w:p>
      <w:pPr>
        <w:jc w:val="both"/>
        <w:ind w:left="760" w:hanging="378"/>
        <w:spacing w:after="0" w:line="253"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compliance</w:t>
      </w:r>
      <w:r>
        <w:rPr>
          <w:rFonts w:ascii="Times New Roman" w:cs="Times New Roman" w:eastAsia="Times New Roman" w:hAnsi="Times New Roman"/>
          <w:sz w:val="18"/>
          <w:szCs w:val="18"/>
          <w:color w:val="auto"/>
        </w:rPr>
        <w:t>. Our subsidiary, Wealthn LLC, is a registered investment advisor and an NFA member as well as commodity pool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operator and registered commodity trading advisor in the United States. Our subsidiaries, both US Tiger Securities, Inc. and TradeUP Securities, are registered broker-dealers with the SEC and a member of FINRA and SIPC in the United States. Our Singapore subsidiary - Tiger Brokers (Singapore) Pte Ltd (“Tiger Brokers SG”) is a capital markets services license holder regulated by the MAS and an exempt financial adviser under the Financial Advisers Act, 2001 of Singapore. Tiger Brokers SG is also a Clearing Member and Depository Agent of The Central Depository (Pte) Limited as well as Trading Member of Singapore Exchange Securities Trading and Singapore Exchange Derivatives Trading. Our Hong Kong subsidiary, Tiger Brokers (HK) Global Limited is a licensed corporation of SFC holding Type 1 (“Dealing in Securities”), Type 2 (“Dealing in Futures Contracts”), Type 4 (“Advising on Securities”), Type 5 (“Advising on Futures Contracts”) licenses and Type 9 (“Asset Management”). Our Australian subsidiary, Fleming, holds an Australian financial services license. Our Hong Kong subsidiaries, Kastle Limited is a licensed trust and company service provider and is a Trust Company under section 78(1) of the Trustee Ordinance (Cap. 29). For consolidated accounts, we carry out customer due diligence of our customers before establishing any relationship or conducting any transaction, pursuant to the anti-money laundering rules and regulations in New Zealand. See Item 3.D “Risk Factors-Risks Related to Our Business and Industry-We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face risks related to our status as an anti-money laundering reporting entity in New Zealand and if the Financial Markets Authority finds fault with our AMLCFT programs and engages in enforcement actions against us, our business and reputation may be adversely affected.” We, as well as our clearing agents, conduct ongoing customer due diligence and account monitoring as well as other internal controls procedures to comply strictly with applicable rules in relevant jurisdictions. For fully disclosed accounts, our primary clearing agent Interactive Brokers takes the main responsibilities of verifying customers’ identities and other regulatory compliance in the United States.</w:t>
      </w:r>
    </w:p>
    <w:p>
      <w:pPr>
        <w:spacing w:after="0" w:line="181" w:lineRule="exact"/>
        <w:rPr>
          <w:sz w:val="20"/>
          <w:szCs w:val="20"/>
          <w:color w:val="auto"/>
        </w:rPr>
      </w:pPr>
    </w:p>
    <w:p>
      <w:pPr>
        <w:jc w:val="both"/>
        <w:ind w:left="760" w:hanging="378"/>
        <w:spacing w:after="0" w:line="258"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customer funds in real name</w:t>
      </w:r>
      <w:r>
        <w:rPr>
          <w:rFonts w:ascii="Times New Roman" w:cs="Times New Roman" w:eastAsia="Times New Roman" w:hAnsi="Times New Roman"/>
          <w:sz w:val="18"/>
          <w:szCs w:val="18"/>
          <w:color w:val="auto"/>
        </w:rPr>
        <w:t>. We generally require funds to be transferred in and out of customers’ own bank accounts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 the risk of funds flowing into bank accounts of any unrelated third parties. This means that, with limited exceptions, a customer’s trade account name must be the same as his or her bank account name to facilitate any fund transfer. Such measure not only reduces the risk of fraudulent transfer of customer funds into third-party accounts but also minimizes money laundering activities as well as potential violation of foreign exchange regulations in China.</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Tiger Verification</w:t>
      </w:r>
      <w:r>
        <w:rPr>
          <w:rFonts w:ascii="Times New Roman" w:cs="Times New Roman" w:eastAsia="Times New Roman" w:hAnsi="Times New Roman"/>
          <w:sz w:val="18"/>
          <w:szCs w:val="18"/>
          <w:color w:val="auto"/>
        </w:rPr>
        <w:t>. We developed a proprietary Tiger Verification APP in August 2018 that works together with our trading platform to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security of customer accounts. Before customers complete transactions, they can enter their passwords and codes generated from Tiger Verification to verify their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Trading-Related Risks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various trading-related risks arising from our brokerage operations, primarily market risk from financial market volatility and liquidity risk from inability to meet cash flow needs and regulatory requirements. Our management and risk management team work closely together to monitor our risk exposures throughout the day. We implement risk management measures for each of the major trading-related risks as follows:</w:t>
      </w:r>
    </w:p>
    <w:p>
      <w:pPr>
        <w:spacing w:after="0" w:line="174" w:lineRule="exact"/>
        <w:rPr>
          <w:sz w:val="20"/>
          <w:szCs w:val="20"/>
          <w:color w:val="auto"/>
        </w:rPr>
      </w:pPr>
    </w:p>
    <w:p>
      <w:pPr>
        <w:jc w:val="both"/>
        <w:ind w:left="760" w:hanging="378"/>
        <w:spacing w:after="0" w:line="258"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risk</w:t>
      </w:r>
      <w:r>
        <w:rPr>
          <w:rFonts w:ascii="Times New Roman" w:cs="Times New Roman" w:eastAsia="Times New Roman" w:hAnsi="Times New Roman"/>
          <w:sz w:val="18"/>
          <w:szCs w:val="18"/>
          <w:color w:val="auto"/>
        </w:rPr>
        <w:t>. Market risk is the risk of loss incurred from adverse market movements. The primary market risk factor to which we are exposed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fluctuation of trading volume. As a part of our risk management system, we plan to diversify our business to increase the products and services we offer under our asset management services as well as institutional and corporate services. See Item 3.D “Risk Factors-Risks Related to Our Business and Industry-Our business may be harmed by global events beyond our control, including overall slowdowns in securities trading. Our revenues and profitability depend on trading volume and are prone to significant and unpredictable fluctuations.”</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Liquidity risk</w:t>
      </w:r>
      <w:r>
        <w:rPr>
          <w:rFonts w:ascii="Times New Roman" w:cs="Times New Roman" w:eastAsia="Times New Roman" w:hAnsi="Times New Roman"/>
          <w:sz w:val="18"/>
          <w:szCs w:val="18"/>
          <w:color w:val="auto"/>
        </w:rPr>
        <w:t>. Liquidity risk is the risk of losses resulting from the inability to meet current and future cash flow needs. US Tiger Securities,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TradeUP Securities must comply with the SEC’s net capital requirements, by which its current financial health is measured by assessing its liquidity against the risks where it has exposure. At all times US Tiger Securities, Inc. and TradeUP Securities must maintain the net capital requirements, at a level equal to, or greater than, the prescribed minimum capital. US Tiger Securities, Inc. and TradeUP Securities must maintain a minimum net capital requirement in compliance with the SEC Rule 15c3-1 as well as comply with the SEC Rule 17a-11 and the “early warning levels” for net capital requirements contained therein. Tiger Brokers SG is a capital markets services license holder under the Securities and Futures Act 2001 of Singapore (the “SFA”) for (I) dealing in capital markets products that are securities, collective investment schemes, and exchange-traded derivatives contracts; (II) product financing; and (III) providing custodial services, and an exempt financial adviser under the Financial Advisers Act 2001 of Singapore (the FAA) for advising on investment products and issuing or promulgating analyses/reports on investment products that are securities, collective investment schemes, and exchange-traded derivatives contracts. Under the SFA, there is a requirement to maintain sufficient capital (“CAR”) as part of its condition to operate the business in Singapore. CAR is calculated using a risk-based capital approach. For Tiger Brokers SG, the minimum base capital requirement is SGD 5 million and, in addition, the firm is required to analyze its operational risk and determine further capital requirement according to the risk the business faces. Its financial resources (which definition includes its base capital) cannot fall below its total risk requirement (i.e. the amount required to address risks arising from its activities), and in the case that its financial resources fall below 120% of its total risk requirement, it is required to immediately notify the MAS of this fact.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760" w:hanging="378"/>
        <w:spacing w:after="0" w:line="254"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risk</w:t>
      </w:r>
      <w:r>
        <w:rPr>
          <w:rFonts w:ascii="Times New Roman" w:cs="Times New Roman" w:eastAsia="Times New Roman" w:hAnsi="Times New Roman"/>
          <w:sz w:val="18"/>
          <w:szCs w:val="18"/>
          <w:color w:val="auto"/>
        </w:rPr>
        <w:t>. The main credit risk is the risk exposure related to the margin financing we extend to our clients. Margin financing is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by securities in the customers’ accounts, but associated credit risk can be heightened during periods of market volatility, low market liquidity and over-concentration of certain securities. During such times, customers who utilize margin financing and who have collateralized their obligations with securities may find their securities portfolio rapidly depreciating in value and may not be sufficient to cover their credit obligations even after fully liquidating their portfolio. We are also exposed to credit risk when our customers execute transactions, such as securities borrowing and lending that can also expose them to risk beyond their invested capital. We have a comprehensive policy implemented to assess and monitor the suitability of investors to engage in the trading activities that we offer. Our credit exposure is to a great extent mitigated by our policy of credit assessment and automatic evaluation of each account throughout the trading day and closing out positions automatically or disabling further trading for accounts that are found to be under-margined.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Operational risk is the risk of loss resulting from inadequate or failed internal processes or controls, human errors or misconducts, system and technology problems or from external events. It also involves non-compliance with regulatory and legal requirements. We manage operational risks by establishing policies and procedures to accomplish timely and efficient processing and obtaining periodic reports from management regarding key processes.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Significant operational risks arise particularly in relation to trading, IT and finance functions. The potential risks relating to trading include routing errors, booking errors, product administration errors and exposure limit breaches.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implemented a comprehensive policy in compliance with the regulatory and legal requirements to assess and monitor the suitability of trading activities on our platform. To mitigate the operational risk, we monitor, detect and predict abnormal trading activities that can potentially impair the continuity of the operations of the market, our counterparts and our own firm. We have developed a business continuity plan to manage and minimize the impact to the business in the event of operational disruptions. Backups and procedures are in place to facilitate the recovery of these systems at our recovery site overseas. See Item 4.B “Business Overview-Our Technology and Infrastructure-Back-end System” for more information.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additionally formulated a series of internal procedures focused on minimizing operational risks. Our compliance department reviews and approves materials published for investor education, market information and community engagement to prevent the disclosure of any inaccurate information. We also monitor the interactions between our customer representatives and customers for any non-compliance with internal policies and regulatory rules. All customer-facing employees receive compliance training upon joining us and we also provide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compliance trainings on various compliance matters to all employees. An annual training schedule stipulates our training requirements. The compliance team monitor customer interactions to ensure that company policy is observed. We take pride in the level and quality of customer services we provide. We have a dedicated team of customer service personnel that handles customer inquiries about our trading platform via phone call and online message.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and Information Security Risks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malicious technological attacks intended to impact the confidentiality, availability or integrity of our systems and data, including sensitive customer data. Our technology team relies on a layered system of preventive and detective technologies, practices and policies to detect, mitigate and neutralize cyber security threats. Secure access to our customers’ information and other confidential information is paramount to our business success. We therefore maintain strict internal practices, procedures and controls enabling us to better protect our customers’ personal information, such as providing different levels of access rights. We use hardware security machines to encrypt sensitive customer information in our CRM system. Access to our information system is granted to employees on an as-needed basis. We deploy advanced firewall technologies to restrict inappropriate access to our hosting facilities. We frequently monitor our APP, websites and critical servers for any cyberattacks or data breaches. See “Item 3. Key Information – Certain Risks Related to Our Chinese Operations and Operating Structure –If we fail to protect customer data and privacy, our reputation, financial condition and results of operations will be materially and adversely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affected” and Item 3.D “Risk Factors – Risks Related to Our Business and Industry – We may fail to protect our platform from cyber-attacks, which may adversely affect our reputation, customer base and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a combination of trademark, copyright and trade secret protection laws in China and other jurisdictions, as well as confidentiality procedures and contractual provisions to protect our intellectual properties and our brand. Our intellectual property rights are important to us in distinguishing our brand and services from those of our competitors and contribute to our ability to compete in our target markets. As our brand name gains more recognition among the general public, we will work to increase, maintain and enforce our trademark portfolio as well as software and domain name registrations, the protection of which is important to our reputation and the continued growth of our business. Below is a comprehensive summary of our intellectual property rights.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we had obtained 10 design patents and 9 invention patents, and had submitted 18 additional patent applications in China. As of March 31, 2026, we had registered 255 trademarks and had about 4 additional trademark applications in China. We had also obtained trademarks in jurisdictions such as Hong Kong, Singapore, Malaysia, EU, Indonesia, India, Philippines, Thailand, Australia and New Zealand, and submitted trademark applications in various jurisdictions. As of March 31, 2026, we had registered about 195 software copyrights and 20 artwork copyrights in China and other main jurisdictions.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online brokerage market is highly competitive and rapidly evolving. Our primary competitors include online brokers and other firms providing online brokerage services. Nevertheless, we believe that our diverse product offerings, advanced technology infrastructure, efficient trade execution, top quality customer services and competitive pricing together make us one of the top performers in this market.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some of our competitors may have greater financial resources or a larger customer base than we do, we believe that our proprietary trading platform, comprehensive customer services, innovative products and services, unparalleled user experience, robust infrastructure and advanced technology, and strong brand recognition are powerful competitive strengths in the fast-evolving online brokerage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insurance such as professional liability insurance and directors and officers liability insurance for certain subsidiaries. For instance, our U.S. subsidiaries, Tiger Fintech Holdings Inc., US Tiger Securities Inc., and TradeUp Securities Inc., maintain various insurance policies, including a Business Owners Policy covering general liability and property with a limit of $1.0 million, Commercial Umbrella Insurance with a limit of $5.0 million, Directors’ and Officers’ Liability Insurance with a limit of $3.0 million, Cyber and Technology Errors and Omissions Insurance with a limit of $10.0 million, Employment Practices Liability Insurance with a limit of $3.0 million, a Fidelity Bond with a limit of $5.0 million, and a Surety Bond under the New York Financial Services Bond STAMP program with limits of $4.0 million. Our New Zealand subsidiaries, Tiger Brokers (NZ) Limited and Tiger Fintech (NZ) Limited, have in place professional liability insurance and directors’ and officers’ liability insurance, each of which has a limit of liability of NZ$1 million per claim and in the aggregate covering worldwide (excluding the U.S. and Canada) jurisdictions and territories. Our Australian subsidiaries, Tiger Brokers (AU) Limited, have in place professional indemnity insurance and directors’ and officers’ liability insurance, each of which has a limit of indemnity of AUD$5 million and covers worldwide (excluding the U.S. and Canada) jurisdictions and territories. Our Singapore subsidiary Tiger Brokers (Singapore) Pte Ltd. maintains professional indemnity insurance with a limit of liability of S$25 million, as well as a business insurance package covering office property, electronic equipment, and work injury compensation with a limit of liability of S$2.2 million. Another Singapore subsidiary, Tiger Fintech (Singapore) Pte Ltd maintains cyber security insurance with a limit of liability of S$5 million.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the insurance described above, we only maintain insurance coverage required by laws and regulations and do not carry additional policies such as data security insurance, business interruption insurance, or liability insurance covering risks like customer complaints, litigation, or other operational liabilities. While our Directors believe that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insurance coverage is in line with industry practice and our current policies are adequate, please refer to Item 3.D “Risk Factors-Risks Related to Our Business and Industry-Our insurance coverage may be inadequate to cover risks related to our business and operation.”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date of this report, except for the litigation disclosed in Item 3.D “Risk Factors,” we are not a party to, and we are not aware of any threat of, any legal proceeding that, in the opinion of our management, is likely to have a significant effect on our financial position or profitability, nor have we experienced any incident of non-compliance which, in the opinion of our directors, is likely to have a significant effect on our financial position or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comprehensive compliance framework covering marketing compliance, regulatory compliance and AML procedures protects the assets and interests of our customers. Our compliance department carries out routine day-to-day compliance tasks and transaction reporting, business monitoring and customer due diligence to ensure compliance with all applicable laws and regulations. In addition, they monitor complaints and compile responses to these complaints.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compliance department also oversees general compliance with all applicable KYC rules and AML procedures, carries out the compliance policies and prepares reports to any regulatory agencies if needed. Lastly, all compliance employees are required to undergo continuous intensive on-the-job training to become familiar with the latest regulatory environment developments.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not experienced seasonality in our business. However, as our brokerage business only began operations in 2015, volatility that may be inherent in the online brokerage industry could be masked by our rapid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summarizes the principal New Zealand, U.S., Singapore, Australia and Hong Kong laws and regulations relevant to our business and operations. Information regarding certain PRC regulations set forth under “Item 3. Key Information – Description of Certain PRC Regulations Affecting Our Business”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Zealand Regulations Relating to Securities and Futures Brokerage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Rules of the Exchanges on Which We Operate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 money or property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Tiger Brokers (NZ) Limited and Tiger Fintech (NZ) Limited provide “client money or property services” in New Zealand, which are regulated by the Financial Markets Conduct Act 2013 (as amended in March 2021 by the Financial Services Legislation Amendment Act 2019) (“</w:t>
      </w:r>
      <w:r>
        <w:rPr>
          <w:rFonts w:ascii="Times New Roman" w:cs="Times New Roman" w:eastAsia="Times New Roman" w:hAnsi="Times New Roman"/>
          <w:sz w:val="18"/>
          <w:szCs w:val="18"/>
          <w:b w:val="1"/>
          <w:bCs w:val="1"/>
          <w:color w:val="auto"/>
        </w:rPr>
        <w:t>FMCA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client money or property service is:</w:t>
      </w:r>
    </w:p>
    <w:p>
      <w:pPr>
        <w:spacing w:after="0" w:line="225"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client money or client property by a person and the holding, payment, or transfer of that client money or client property; and</w:t>
      </w:r>
    </w:p>
    <w:p>
      <w:pPr>
        <w:spacing w:after="0" w:line="221"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a custodial service (i.e., the holding of client money or client property by a person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in trust for, or on behalf of, a client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or another person nominated by C, under an agreement between A and C or between A and another person with whom C has an agreement (whether or not there are also other parties to the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Subpart 5B of Part 6 of the FMCA regulates client money or property services by imposing:</w:t>
      </w:r>
    </w:p>
    <w:p>
      <w:pPr>
        <w:spacing w:after="0" w:line="225"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obligations for services for retail clients;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obligations; and</w:t>
      </w:r>
    </w:p>
    <w:p>
      <w:pPr>
        <w:spacing w:after="0" w:line="225" w:lineRule="exact"/>
        <w:rPr>
          <w:rFonts w:ascii="Times New Roman" w:cs="Times New Roman" w:eastAsia="Times New Roman" w:hAnsi="Times New Roman"/>
          <w:sz w:val="18"/>
          <w:szCs w:val="18"/>
          <w:color w:val="auto"/>
        </w:rPr>
      </w:pPr>
    </w:p>
    <w:p>
      <w:pPr>
        <w:ind w:right="6320" w:firstLine="382"/>
        <w:spacing w:after="0" w:line="499" w:lineRule="auto"/>
        <w:tabs>
          <w:tab w:leader="none" w:pos="7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for handling client money and client property. Certain of these obligations are summarized below.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obligations for services offered to retail clients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provider of a regulated client money or property service must disclose prescribed information to a retail client:</w:t>
      </w:r>
    </w:p>
    <w:p>
      <w:pPr>
        <w:spacing w:after="0" w:line="225"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receiving client money or client property from or on behalf of the client; or</w:t>
      </w:r>
    </w:p>
    <w:p>
      <w:pPr>
        <w:spacing w:after="0" w:line="225" w:lineRule="exact"/>
        <w:rPr>
          <w:rFonts w:ascii="Times New Roman" w:cs="Times New Roman" w:eastAsia="Times New Roman" w:hAnsi="Times New Roman"/>
          <w:sz w:val="18"/>
          <w:szCs w:val="18"/>
          <w:color w:val="auto"/>
        </w:rPr>
      </w:pPr>
    </w:p>
    <w:p>
      <w:pPr>
        <w:ind w:right="1480" w:firstLine="382"/>
        <w:spacing w:after="0" w:line="500" w:lineRule="auto"/>
        <w:tabs>
          <w:tab w:leader="none" w:pos="7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practicable before, as soon as practicable after receiving client money or client property from or on behalf of the client. A person must not provide information under the above requirement if:</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in the information that is false or misleading or is likely to mislead;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omission from the information that is required by the regulations;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 or omission is materially adverse from the point of view of a client.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about a future matter (including the doing, or not doing, of an act) is misleading if the person making the statement does not have reasonable grounds for making 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Conduct obligations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provider must, when providing a regulated client money or property service, exercise the care, diligence, and skill that a prudent person engaged in the business of providing the service would exercise in the same circumstances.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Obligations for handling client money and client property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provider who receives client money or client property, as part of a client money or property service, must:</w:t>
      </w:r>
    </w:p>
    <w:p>
      <w:pPr>
        <w:spacing w:after="0" w:line="225"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client money or client property, or ensure the client money or client property is held, on trust for the client;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client money is paid promptly into a bank in New Zealand (or into any other prescribed entity) to a designated trust account.</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acting as a custodian, appoint a qualified auditor to undertake a statutory client funds assurance report each year, a copy of which is provided to the FMA.</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provider who receives or holds client money on trust for a client must keep, or ensure that there are kept, trust account records that disclose clearly the position of the client money in the trust account.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provider must not use or apply client money or client property received or held on trust for a client by a provider in any way except as expressly directed by the client or by transferring it to the provider’s designated trust account.</w:t>
      </w:r>
    </w:p>
    <w:p>
      <w:pPr>
        <w:sectPr>
          <w:pgSz w:w="11900" w:h="16838" w:orient="portrait"/>
          <w:cols w:equalWidth="0" w:num="1">
            <w:col w:w="11240"/>
          </w:cols>
          <w:pgMar w:left="320" w:top="769" w:right="3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client money or client property that is received or held by a provider on trust for a client:</w:t>
      </w:r>
    </w:p>
    <w:p>
      <w:pPr>
        <w:spacing w:after="0" w:line="225"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available for the payment of the debts owing to any other creditor of the provider;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liable to be attached or taken in execution under the order or process of any court at the instance of another creditor of the provider.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of Financial Service Providers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Tiger Brokers (NZ) Limited and Tiger Fintech (NZ) Limited are financial service providers registered on the Financial Services Providers Register established under the Financial Service Providers (Registration and Dispute Resolution) Act 2008.</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service providers are required to be members of an approved dispute resolution scheme if they provide financial services to retail customers. Both companies are registered with Financial Services Complaints Limited (“FSCL”). A customer is entitled to raise a complaint directly with FSCL. If this occurs, FSCL will work with the customer and the provider with the aim to reach agreement on any complaints regarding the provision of a financial service. If an agreement cannot be achieved, FSCL will make a decision on the complaint which is binding on the provider. The services provided by FSCL are free of charge for customers.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Tiger Brokers (NZ) Limited and Tiger Fintech (NZ) Limited are not licensed by a New Zealand regulator to provide client money or property services. Their registration on the New Zealand register of financial service providers or membership of the Financial Services Complaints Limited Dispute Resolution Scheme does not mean that they are subject to active regulation or oversight by a New Zealand regulator.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Rules Relating to Anti-Money Laundering and Countering Financing of Terrorism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Tiger Brokers (NZ) Limited and Tiger Fintech (NZ) Limited are regulated by the FMA for AML/CFT purposes and are recorded on the FMA website as AML/CFT reporting entities.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Anti-Money Laundering and Countering Financing of Terrorism Act 2009 (AML/CFT Act) places obligations on New Zealand reporting entities, including financial institutions, to detect and deter money laundering and the financing of terrorism.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reporting entity must establish, implement, and maintain an AML/CFT compliance programme comprising policies, procedures, and controls designed to detect, manage, and mitigate the risks of money laundering and terrorist financing. Prior to establishing and maintaining an AML/CFT programme, a reporting entity must undertake and maintain a written risk assessment of the money laundering and terrorist financing risks it may reasonably expect to face in the course of its business.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civil liability act occurs where a reporting entity fails to comply with the requirements of the AML/CFT Act. The FMA has a range of enforcement tools in respect of civil liability acts, including formal warnings, enforceable undertakings, and, on application to the court, injunctions and pecuniary penalties. A reporting entity commits a criminal offence if it engages in conduct constituting a civil liability act knowingly or recklessly. Additional criminal offences are also prescribed under the AML/CFT Act. A person convicted of an offence under the AML/CFT Act is liable, in the case of an individual, to imprisonment for a term not exceeding 2 years and/or a fine of up to NZD 300,000, and in the case of a body corporate, a fine of up to NZD 5 million.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AML/CFT Act requires reporting entities to conduct customer due diligence (CDD) on customers, any beneficial owners, and any persons acting on behalf of the customer. A reporting entity must obtain the prescribed identity information and take reasonable steps to verify that information. It must also take reasonable steps to identify and verify any beneficial owner so that it is satisfied that it knows who the beneficial owner is.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 reporting entity must obtain information on the nature and purpose of the proposed business relationship and sufficient information to determine the level of CDD required, including whether enhanced customer due diligence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(EDD) is necessary. EDD is required in prescribed circumstances and involves obtaining and verifying additional information, including the source of funds and/or source of wealth.</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reporting entity must, as soon as practicable after establishing a business relationship or conducting an occasional transaction or activity, take reasonable steps to determine whether the customer or any beneficial owner is a politically exposed person. If a reporting entity determines that a customer or beneficial owner with whom it has established a business relationship is a politically exposed person, then the reporting entity must have senior management approval for continuing the business relationship and must obtain information about the source of wealth or funds of the customer or beneficial owner and take reasonable steps to verify the source of that wealth or those funds.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reporting entity must conduct Ongoing Customer Due Diligence and undertake Ongoing Account Monitoring procedures to ensure that the business relationship and transactions are consistent with the reporting entity’s knowledge about the customer, the customer’s business, and risk profile.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 a reporting entity knows or suspects, or has reasonable grounds to suspect, that an activity or transaction is or may be relevant to the investigation or prosecution of an offence, or to the enforcement of the AML/CFT Act, it must submit a suspicious activity report to the Commissioner of Police as soon as practicable, and in any case no later than 3 working days after forming that suspicion.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Zealand Regulations on Internet Privacy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Privacy Act 2020 controls how “agencies” collect, use, disclose, store and give access to “personal information”. An “agency” is widely defined and includes any individual, public or private sector agency, or court or tribunal that is carrying on business or present in New Zealand, with specified exceptions. ‘Personal information’ means information about an identifiable individual. The Privacy Act covers government agencies, local councils, businesses, and individuals. All personal information is covered, including information about employees. All organizations are required to have a privacy officer to deal with privacy issues.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Privacy Act now clearly states that it has extraterritorial effect. This means that an overseas business or organization that is ‘carrying on business’ in New Zealand will be subject to the Act’s privacy obligations, even if it does not have a physical presence here.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Privacy Act provides for 13 overriding privacy principles. The 13 principles stipulate how information can be collected, used, disclosed and stored, and people’s rights to gain access to that information and ask for it to be corrected. The privacy principles cover: collection of personal information (principles 1-4); storage and security of personal information (principle 5); requests for access to and correction of personal information (principles 6 and 7, plus parts 4 and 5 of the Act); accuracy of personal information (principle 8); retention of personal information (principle 9); use and disclosure of personal information (principles 10 and 11); disclosure of personal information outside New Zealand (principle 12) and, using unique identifiers (principle 13).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an individual feels there has been a breach of the principles he or she can lodge a complaint with the Privacy Commissioner. The Privacy Commissioner investigates the complaint and undertakes a process of conciliation rather than punishment. If the complaint cannot be settled, it may be referred to the Human Rights Review Tribunal, which considers the situation anew. If the Tribunal finds there has been a breach, it may award a range of remedies including damages and restraining orders.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Privacy Act introduces a mandatory privacy breach notification regime for “notifiable privacy breaches”. Notifiable privacy breaches are those that a business or organization believes have caused (or are likely to cause) serious harm. Notifiable privacy breaches require a business or organization to notify the Office of the Privacy Commissioner and affected individuals as soon as possible (unless an exception applies for notifying individuals, for example where it reveals a trade secret or would endanger personal safety). Under the Act, it is an offence to fail to inform the Privacy Commissioner when there has been a notifiable privacy breach. As noted above, the Act clarifies that liability for breach notifications sits with the business or organization, and not the individual employees.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Privacy Act introduces a new privacy principle, principle 12, which regulates how agencies can transfer personal information overseas to foreign entities and individuals. Agencies can only transfer personal information where (1) an individual authorizes disclosure after being expressly told that their personal information might not be protected in the same way as under the Privacy Act, or (2) the discloser reasonably believes that (i) comparable privacy laws exist, (ii) other protections affording comparable privacy protections are in place (i.e. a contract), (iii) the receiver is in a prescribed country or subject to a prescribed scheme, or (iv) the receiver carries on business in New Zealand and is subject to the Privacy Act.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Privacy Act introduces new criminal offences. It is now an offence to mislead an agency to access someone else’s personal information, or falsely pretend to be them or acting under their authority. It will also be an offence for an organization or business to destroy personal information, knowing that a request has been made to access it. The maximum penalty for an offence is NZ$10,000.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Regulations Relating to Securities and Futures Brokerage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also subject to regulation, primarily by U.S. federal and state regulatory agencies and certain Self-Regulatory Organization (“SROs”), such as central banks and securities exchanges, that have been charged with the protection of the financial markets and the interests of those participating in those markets. We, along with other larger institutions, have been subject to a broad range of rules and regulations and a climate of heightened regulatory scrutiny, particularly with respect to compliance with laws and regulations, including financial and operational controls and business processes. This scrutiny and related rule-making has resulted in part from the enactment of the Dodd-Frank Wall Street Reform and Consumer Protection Act, or the Dodd-Frank Act, in 2010, which significantly changed the bank regulatory structure of our company and its thrift subsidiaries. The substance and full impact of the laws and regulations to which we are subject may be affected by changes in the U.S. political landscape, and we expect to continue to incur costs to implement new or phase-in requirements and monitor for continued compliance.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Services and Information Security Regulation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regulators are increasingly focused on ensuring that our customer privacy, data protection, information security and cyber security-related policies and practices are adequate to inform consumers of our data collection, use, sharing or security practices, to provide them with choices, if required, about how we use and share their information, and to safeguard their personal information. We maintain systems designed to comply with these privacy, data protection, information security and cyber security requirements, including procedures designed to securely process, transmit and store confidential information and protect against unauthorized access to such information.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brokerage and banking entities are required by the Gramm-Leach-Bliley Act of 1999 to develop, implement, and maintain an information security program with administrative, technical, and physical safeguards designed to protect customer information and to disclose their privacy policies and practices related to sharing customer information with affiliates and non-affiliates. These rules give customers the ability to “opt out” of having non-public information disclosed to third parties or receiving marketing solicitations from affiliates and non-affiliates based on non-public information received from our brokerage and banking entities. In May 2024, the SEC adopted amendments to Regulation S-P requiring enhanced safeguards for customer information, including incident response and breach notification requirements, with phased compliance beginning in December 2025. In addition, Executive Order 14117 and related regulations issued in January 2025 impose restrictions on certain cross-border transfers of sensitive personal data to designated countries, including China. The SEC and FINRA have also emphasized cybersecurity, supervisory controls, and third-party risk management, leading to heightened regulatory scrutiny. </w:t>
      </w:r>
      <w:r>
        <w:rPr>
          <w:rFonts w:ascii="Times New Roman" w:cs="Times New Roman" w:eastAsia="Times New Roman" w:hAnsi="Times New Roman"/>
          <w:sz w:val="18"/>
          <w:szCs w:val="18"/>
          <w:i w:val="1"/>
          <w:iCs w:val="1"/>
          <w:color w:val="auto"/>
        </w:rPr>
        <w:t>The Bank Secrecy Act</w:t>
      </w:r>
      <w:r>
        <w:rPr>
          <w:rFonts w:ascii="Times New Roman" w:cs="Times New Roman" w:eastAsia="Times New Roman" w:hAnsi="Times New Roman"/>
          <w:sz w:val="18"/>
          <w:szCs w:val="18"/>
          <w:color w:val="auto"/>
        </w:rPr>
        <w:t xml:space="preserve">, as amended by the </w:t>
      </w:r>
      <w:r>
        <w:rPr>
          <w:rFonts w:ascii="Times New Roman" w:cs="Times New Roman" w:eastAsia="Times New Roman" w:hAnsi="Times New Roman"/>
          <w:sz w:val="18"/>
          <w:szCs w:val="18"/>
          <w:i w:val="1"/>
          <w:iCs w:val="1"/>
          <w:color w:val="auto"/>
        </w:rPr>
        <w:t>U.S.A. PATRIOT ACT of 2001</w:t>
      </w:r>
      <w:r>
        <w:rPr>
          <w:rFonts w:ascii="Times New Roman" w:cs="Times New Roman" w:eastAsia="Times New Roman" w:hAnsi="Times New Roman"/>
          <w:sz w:val="18"/>
          <w:szCs w:val="18"/>
          <w:color w:val="auto"/>
        </w:rPr>
        <w:t>, or the BSA/USA PATRIOT Act, applies to our brokerage and banking entities and requires financial institutions to develop anti-money laundering programs to assist in the prevention and detection of money laundering and combating terrorism. In order to comply with the BSA/USA PATRIOT Act, we have an AML department that is responsible for developing and implementing our enterprise-wide programs for compliance with the various anti-money laundering and counterterrorist financing laws and us regulations. Our brokerage and banking entities are also subject to U.S. sanctions laws administered by the Office of Foreign Assets Control and we have policies and procedures in place to comply with these laws.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Brokerage Regulation and Capital Requirements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subsidiary, US Tiger Securities, Inc. and TradeUP Securities, both U.S. broker-dealers, are registered with the SEC and is subject to regulation by the SEC and by SROs, such as FINRA and the securities exchanges of which it is a member, as well as various state regulators. The SEC and other governmental agencies and self-regulatory organizations, as well as state securities commissions in the United States, have the power to conduct administrative proceedings that can result in censure, penalties and fines, disgorgement of profits, restitution to customers, cease-and-desist orders or suspension, termination or limitation of the activities of the regulated entity or its employees. TradeUP Securities is a registered member of The Depository Trust &amp; Clearing Corporation (“DTC”) and National Securities Clearing Corporation.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Brokerage regulation covers various aspects of brokerage activities, including segregated cash requirements and net capital. TradeUP Securities is a fully disclosed broker-dealer within the meaning of SEC Rule 15c3-3 under the Exchange Act, which requires segregation of funds in a special reserve account for the benefit of customers. US Tiger Securities, Inc. and TradeUP Securities are subject to the Uniform Net Capital Rule, Rule 15c3-1 under the Exchange Act, which requires the maintenance of minimum net capital. Brokerage regulation also covers other brokerage activities, including required books and records, customer suitability, safekeeping of funds and securities, trading, prohibited transactions, public offerings, margin lending, customer qualifications for margin and options transactions, registration of personnel and transactions with affiliates. These net capital requirements are designed to measure the financial soundness and liquidity of broker-dealers. The net capital rule imposes certain requirements that may have the effect of preventing a broker-dealer from distributing or withdrawing capital and may require that prior notice to the regulators be provided prior to making capital withdrawals. Compliance with net capital requirements could limit operations that require the intensive use of capital, such as trading activities and underwriting, and may limit the ability of our broker-dealer subsidiaries to pay dividends to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Adviser Regulation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Our wholly-owned subsidiary, Wealthn LLC, is registered as an investment adviser under </w:t>
      </w:r>
      <w:r>
        <w:rPr>
          <w:rFonts w:ascii="Times New Roman" w:cs="Times New Roman" w:eastAsia="Times New Roman" w:hAnsi="Times New Roman"/>
          <w:sz w:val="18"/>
          <w:szCs w:val="18"/>
          <w:i w:val="1"/>
          <w:iCs w:val="1"/>
          <w:color w:val="auto"/>
        </w:rPr>
        <w:t>the Investment Advisers Act of 1940</w:t>
      </w:r>
      <w:r>
        <w:rPr>
          <w:rFonts w:ascii="Times New Roman" w:cs="Times New Roman" w:eastAsia="Times New Roman" w:hAnsi="Times New Roman"/>
          <w:sz w:val="18"/>
          <w:szCs w:val="18"/>
          <w:color w:val="auto"/>
        </w:rPr>
        <w:t>, as amended with the SEC, or the Investment Advisers Act. As a registered investment adviser, Wealthn LLC is subject to the fiduciary and other obligations imposed under the Investment Advisers Act and the rules and regulations promulgated thereunder, as well as applicable state securities laws. The Investment Advisers Act imposes numerous obligations on registered investment advisers such as Wealthn LLC, including recordkeeping, operational and marketing requirements, disclosure obligations and prohibitions on fraudulent activities. State-level regulations through the Attorneys General, state securities regulators and other state level agencies also apply to certain activities of Wealthn LLC.</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Investment Company Act of 1940</w:t>
      </w:r>
      <w:r>
        <w:rPr>
          <w:rFonts w:ascii="Times New Roman" w:cs="Times New Roman" w:eastAsia="Times New Roman" w:hAnsi="Times New Roman"/>
          <w:sz w:val="18"/>
          <w:szCs w:val="18"/>
          <w:color w:val="auto"/>
        </w:rPr>
        <w:t>, as amended, or the Investment Company Act, also imposes stringent governance, compliance, operational, disclosure and related obligations on registered investment companies and their investment advisers, such as Wealthn LLC, and distributor(s) and its affiliated companies. The SEC is authorized to institute proceedings and impose sanctions for violations of the Advisers Act and the Investment Company Act, ranging from fines and censure to termination of an investment adviser’s registration. Non-compliance with the Advisers Act, the Investment Company Act or other federal and state securities laws and regulations could result in investigations, sanctions, disgorgement, fines and reputational damage, as well as temporary or permanent prohibition of certain activities, related client terminations or other sanctions.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 Regulations Relating to Securities and Futures Brokerage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Tiger Brokers SG is a capital markets services license holder under SFA for (I) dealing in capital markets products that are securities, collective investment schemes, and exchange-traded derivatives contracts; (II) product financing; and (III) providing custodial services, and an exempt financial adviser under the Financial Advisers Act 2001 of Singapore (the FAA) for advising on investment products and issuing or promulgating analyses/reports on investment products that are securities, collective investment schemes, and exchange-traded derivatives contracts. Under the SFA, there is a requirement to maintain sufficient capital (“CAR”) as part of its condition to operate the business in Singapore. CAR is calculated using a risk-based capital approach. For Tiger Brokers SG, the minimum base capital requirement is SGD 5 million and, in addition, the firm is required to analyze its operational risk and determine further capital requirement according to the risk the business faces. Its financial resources (which definition includes its base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cannot fall below its total risk requirement (i.e. the amount required to address risks arising from its activities), and in the case that its financial resources fall below 120% of its total risk requirement, it is required to immediately notify the MAS of this fact. Tiger Brokers SG minimally maintain at least 25% above the actual CAR requirement as a precaution against any sudden turn in the business environment.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Australian Regulations Relating to Financial Services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AFSL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section 911A (1) of the Corporations Act 2001 in Australia, or the Corporations Act, a person who carries on a financial services business in Australia must generally hold an Australian financial services license, or AFSL, unless a relevant exception applies.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Relevant AFSL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Tiger Brokers (AU) Pty Limited, ABN 12 007 268 386, is licensed and regulated by Australian Securities and Investment Commission (ASIC), Australian Financial Services License no. 300767 (AFSL). authorizing it to provide various financial services, including financial product advice, dealing, and underwriting, in respect of a variety of financial products. TBAU’s AFSL (No. 300767) authorizes the licensee to carry on a financial services business to:</w:t>
      </w:r>
    </w:p>
    <w:p>
      <w:pPr>
        <w:spacing w:after="0" w:line="176" w:lineRule="exact"/>
        <w:rPr>
          <w:sz w:val="20"/>
          <w:szCs w:val="20"/>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financial product advice for the following classes of financial products:</w:t>
      </w:r>
    </w:p>
    <w:p>
      <w:pPr>
        <w:spacing w:after="0" w:line="2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and payment products limited to:</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deposit products;</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products other than basic deposit products;</w:t>
      </w:r>
    </w:p>
    <w:p>
      <w:pPr>
        <w:spacing w:after="0" w:line="9"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w:t>
      </w:r>
    </w:p>
    <w:p>
      <w:pPr>
        <w:spacing w:after="0" w:line="9" w:lineRule="exact"/>
        <w:rPr>
          <w:rFonts w:ascii="Times New Roman" w:cs="Times New Roman" w:eastAsia="Times New Roman" w:hAnsi="Times New Roman"/>
          <w:sz w:val="18"/>
          <w:szCs w:val="18"/>
          <w:color w:val="auto"/>
        </w:rPr>
      </w:pPr>
    </w:p>
    <w:p>
      <w:pPr>
        <w:ind w:left="840" w:hanging="323"/>
        <w:spacing w:after="0"/>
        <w:tabs>
          <w:tab w:leader="none" w:pos="8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contracts;</w:t>
      </w:r>
    </w:p>
    <w:p>
      <w:pPr>
        <w:spacing w:after="0" w:line="9"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managed investment schemes, including:</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directed portfolio services; and</w:t>
      </w:r>
    </w:p>
    <w:p>
      <w:pPr>
        <w:spacing w:after="0" w:line="9"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20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in a financial product by:</w:t>
      </w:r>
    </w:p>
    <w:p>
      <w:pPr>
        <w:spacing w:after="0" w:line="2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applying for, acquiring, varying or disposing of a financial product in respect of the following classes of financial products:</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contracts; and</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managed investment schemes, limited to:</w:t>
      </w:r>
    </w:p>
    <w:p>
      <w:pPr>
        <w:spacing w:after="0" w:line="9" w:lineRule="exact"/>
        <w:rPr>
          <w:rFonts w:ascii="Times New Roman" w:cs="Times New Roman" w:eastAsia="Times New Roman" w:hAnsi="Times New Roman"/>
          <w:sz w:val="18"/>
          <w:szCs w:val="18"/>
          <w:color w:val="auto"/>
        </w:rPr>
      </w:pPr>
    </w:p>
    <w:p>
      <w:pPr>
        <w:ind w:left="1800" w:hanging="265"/>
        <w:spacing w:after="0"/>
        <w:tabs>
          <w:tab w:leader="none" w:pos="1800" w:val="left"/>
        </w:tabs>
        <w:numPr>
          <w:ilvl w:val="3"/>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managed investment scheme only; and</w:t>
      </w:r>
    </w:p>
    <w:p>
      <w:pPr>
        <w:spacing w:after="0" w:line="9"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acquiring, varying or disposing of a financial product on behalf of another person in respect of the following classes of products:</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and payment products limited to:</w:t>
      </w:r>
    </w:p>
    <w:p>
      <w:pPr>
        <w:spacing w:after="0" w:line="9" w:lineRule="exact"/>
        <w:rPr>
          <w:rFonts w:ascii="Times New Roman" w:cs="Times New Roman" w:eastAsia="Times New Roman" w:hAnsi="Times New Roman"/>
          <w:sz w:val="18"/>
          <w:szCs w:val="18"/>
          <w:color w:val="auto"/>
        </w:rPr>
      </w:pPr>
    </w:p>
    <w:p>
      <w:pPr>
        <w:ind w:left="1800" w:hanging="265"/>
        <w:spacing w:after="0"/>
        <w:tabs>
          <w:tab w:leader="none" w:pos="1800" w:val="left"/>
        </w:tabs>
        <w:numPr>
          <w:ilvl w:val="3"/>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deposit products;</w:t>
      </w:r>
    </w:p>
    <w:p>
      <w:pPr>
        <w:spacing w:after="0" w:line="9" w:lineRule="exact"/>
        <w:rPr>
          <w:rFonts w:ascii="Times New Roman" w:cs="Times New Roman" w:eastAsia="Times New Roman" w:hAnsi="Times New Roman"/>
          <w:sz w:val="18"/>
          <w:szCs w:val="18"/>
          <w:color w:val="auto"/>
        </w:rPr>
      </w:pPr>
    </w:p>
    <w:p>
      <w:pPr>
        <w:ind w:left="1800" w:hanging="265"/>
        <w:spacing w:after="0"/>
        <w:tabs>
          <w:tab w:leader="none" w:pos="1800" w:val="left"/>
        </w:tabs>
        <w:numPr>
          <w:ilvl w:val="3"/>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products other than basic deposit products;</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contracts;</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managed investment schemes, including:</w:t>
      </w:r>
    </w:p>
    <w:p>
      <w:pPr>
        <w:spacing w:after="0" w:line="9" w:lineRule="exact"/>
        <w:rPr>
          <w:rFonts w:ascii="Times New Roman" w:cs="Times New Roman" w:eastAsia="Times New Roman" w:hAnsi="Times New Roman"/>
          <w:sz w:val="18"/>
          <w:szCs w:val="18"/>
          <w:color w:val="auto"/>
        </w:rPr>
      </w:pPr>
    </w:p>
    <w:p>
      <w:pPr>
        <w:ind w:left="1800" w:hanging="265"/>
        <w:spacing w:after="0"/>
        <w:tabs>
          <w:tab w:leader="none" w:pos="1800" w:val="left"/>
        </w:tabs>
        <w:numPr>
          <w:ilvl w:val="3"/>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directed portfolio services; and</w:t>
      </w:r>
    </w:p>
    <w:p>
      <w:pPr>
        <w:spacing w:after="0" w:line="9" w:lineRule="exact"/>
        <w:rPr>
          <w:rFonts w:ascii="Times New Roman" w:cs="Times New Roman" w:eastAsia="Times New Roman" w:hAnsi="Times New Roman"/>
          <w:sz w:val="18"/>
          <w:szCs w:val="18"/>
          <w:color w:val="auto"/>
        </w:rPr>
      </w:pPr>
    </w:p>
    <w:p>
      <w:pPr>
        <w:ind w:left="1300" w:hanging="274"/>
        <w:spacing w:after="0"/>
        <w:tabs>
          <w:tab w:leader="none" w:pos="130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w:t>
      </w:r>
    </w:p>
    <w:p>
      <w:pPr>
        <w:spacing w:after="0" w:line="20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following custodial or depository services:</w:t>
      </w:r>
    </w:p>
    <w:p>
      <w:pPr>
        <w:spacing w:after="0" w:line="2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custodial or depository services other than investor directed portfolio services;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retail and wholesale clients.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TBAU provides dealing and custodial services for a variety of financial products including derivatives, foreign exchange contracts, interests in MIS and securities. TBAU is not a market participant of a licensed financial market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Australia so that execution and settlement services are provided by a third party. When a client trades exchange-traded products (e.g., listed company shares), TBAU will act as an intermediary and instruct market participants to enter trades on the exchange according to client orders.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TBAU is authorized under its AFSL to provide general financial product advice to retail and wholesale clients in those authorized financial products.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Fleming, or Fleming Funds Management, holds an AFSL authorizing it to provide various financial services, including financial product advice, dealing and underwriting, in respect of a variety of financial products, including derivatives, government bonds, interests in managed investment schemes (such as collective investment vehicles) and securities, to wholesale clients only (such as institutional investors and high net worth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Substantive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AFSL holders, TBAU and Fleming are subject to the following obligations (among others):</w:t>
      </w:r>
    </w:p>
    <w:p>
      <w:pPr>
        <w:spacing w:after="0" w:line="225"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various financial, capital and audit requirements;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that a nominated “responsible manager” is allocated responsibility for each financial service provided;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that its representatives who provide financial services are adequately trained and competent to do so;</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“client money” rules under Chapter 7.8 of the Corporations Act;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financial record and order record keeping requirements under Chapter 7.8 of the Corporations Act;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it has in place adequate compliance arrangements in respect of the financial services it provides;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adequate financial, technological and human resources to provide the financial services covered by its license;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Australian financial services laws, and to take reasonable steps to ensure that its representatives comply with Australian financial services laws;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all things necessary to ensure that the Australian regulated activities are provided efficiently, honestly and fairly;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in place adequate arrangements for the management of conflicts of interest;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adequate risk management systems;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report significant breaches of Australian financial services laws, and its AFSL conditions, to the Australian Securities and investments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 in the Australian Regulatory Framework</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2025, Australian Financial Services (AFS) providers faced several significant regulatory changes aim at enhancing transparency, consumer protection, and financial stability.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Privacy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Privacy and Other Legislation Amendment Act 2024 (Cth), which commenced on December 10, 2024, came into effect in staged tranches, with the doxxing criminal offence provisions commencing on 10 June 2025 and automated decision-making transparency obligations scheduled to take effect from 10 December 2026. Key changes include:</w:t>
      </w:r>
    </w:p>
    <w:p>
      <w:pPr>
        <w:spacing w:after="0" w:line="66" w:lineRule="exact"/>
        <w:rPr>
          <w:sz w:val="20"/>
          <w:szCs w:val="20"/>
          <w:color w:val="auto"/>
        </w:rPr>
      </w:pPr>
    </w:p>
    <w:p>
      <w:pPr>
        <w:ind w:left="1540" w:hanging="508"/>
        <w:spacing w:after="0" w:line="284" w:lineRule="auto"/>
        <w:tabs>
          <w:tab w:leader="none" w:pos="15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i w:val="1"/>
          <w:iCs w:val="1"/>
          <w:color w:val="auto"/>
        </w:rPr>
        <w:t>Expansion of the Privacy Act</w:t>
      </w:r>
      <w:r>
        <w:rPr>
          <w:rFonts w:ascii="Times New Roman" w:cs="Times New Roman" w:eastAsia="Times New Roman" w:hAnsi="Times New Roman"/>
          <w:sz w:val="18"/>
          <w:szCs w:val="18"/>
          <w:color w:val="auto"/>
        </w:rPr>
        <w:t>: The Privacy and Other Legislation Amendment Bill 2024 (Cth) broadened the Privacy Act's scope,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introducing stricter consent and notice requirements for handling personal data.</w:t>
      </w:r>
    </w:p>
    <w:p>
      <w:pPr>
        <w:spacing w:after="0" w:line="50" w:lineRule="exact"/>
        <w:rPr>
          <w:sz w:val="20"/>
          <w:szCs w:val="20"/>
          <w:color w:val="auto"/>
        </w:rPr>
      </w:pPr>
    </w:p>
    <w:p>
      <w:pPr>
        <w:ind w:left="1540" w:hanging="508"/>
        <w:spacing w:after="0" w:line="284" w:lineRule="auto"/>
        <w:tabs>
          <w:tab w:leader="none" w:pos="15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i w:val="1"/>
          <w:iCs w:val="1"/>
          <w:color w:val="auto"/>
        </w:rPr>
        <w:t>Introduction of a Statutory Tort for Serious Privacy Invasions</w:t>
      </w:r>
      <w:r>
        <w:rPr>
          <w:rFonts w:ascii="Times New Roman" w:cs="Times New Roman" w:eastAsia="Times New Roman" w:hAnsi="Times New Roman"/>
          <w:sz w:val="18"/>
          <w:szCs w:val="18"/>
          <w:color w:val="auto"/>
        </w:rPr>
        <w:t>: For the first time, individuals gained the right to sue for serious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invasions of privacy, with potential penalties up to $478,550.</w:t>
      </w:r>
    </w:p>
    <w:p>
      <w:pPr>
        <w:spacing w:after="0" w:line="50" w:lineRule="exact"/>
        <w:rPr>
          <w:sz w:val="20"/>
          <w:szCs w:val="20"/>
          <w:color w:val="auto"/>
        </w:rPr>
      </w:pPr>
    </w:p>
    <w:p>
      <w:pPr>
        <w:ind w:left="1540" w:hanging="508"/>
        <w:spacing w:after="0" w:line="284" w:lineRule="auto"/>
        <w:tabs>
          <w:tab w:leader="none" w:pos="15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i w:val="1"/>
          <w:iCs w:val="1"/>
          <w:color w:val="auto"/>
        </w:rPr>
        <w:t>Enhanced Enforcement Powers</w:t>
      </w:r>
      <w:r>
        <w:rPr>
          <w:rFonts w:ascii="Times New Roman" w:cs="Times New Roman" w:eastAsia="Times New Roman" w:hAnsi="Times New Roman"/>
          <w:sz w:val="18"/>
          <w:szCs w:val="18"/>
          <w:color w:val="auto"/>
        </w:rPr>
        <w:t>: Regulatory bodies, notably the Office of the Australian Information Commissioner (OAIC),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expanded powers to oversee compliance and enforce penalties for privacy breaches.</w:t>
      </w:r>
    </w:p>
    <w:p>
      <w:pPr>
        <w:spacing w:after="0" w:line="50" w:lineRule="exact"/>
        <w:rPr>
          <w:sz w:val="20"/>
          <w:szCs w:val="20"/>
          <w:color w:val="auto"/>
        </w:rPr>
      </w:pPr>
    </w:p>
    <w:p>
      <w:pPr>
        <w:ind w:left="1540" w:hanging="508"/>
        <w:spacing w:after="0" w:line="284" w:lineRule="auto"/>
        <w:tabs>
          <w:tab w:leader="none" w:pos="15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i w:val="1"/>
          <w:iCs w:val="1"/>
          <w:color w:val="auto"/>
        </w:rPr>
        <w:t>Regulation of Automated Decision-Making</w:t>
      </w:r>
      <w:r>
        <w:rPr>
          <w:rFonts w:ascii="Times New Roman" w:cs="Times New Roman" w:eastAsia="Times New Roman" w:hAnsi="Times New Roman"/>
          <w:sz w:val="18"/>
          <w:szCs w:val="18"/>
          <w:color w:val="auto"/>
        </w:rPr>
        <w:t>: New requirements mandated transparency in automated decisions affecting individuals,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necessitating clear communication when relying on such processes.</w:t>
      </w:r>
    </w:p>
    <w:p>
      <w:pPr>
        <w:spacing w:after="0" w:line="50" w:lineRule="exact"/>
        <w:rPr>
          <w:sz w:val="20"/>
          <w:szCs w:val="20"/>
          <w:color w:val="auto"/>
        </w:rPr>
      </w:pPr>
    </w:p>
    <w:p>
      <w:pPr>
        <w:ind w:left="1540" w:hanging="508"/>
        <w:spacing w:after="0" w:line="284" w:lineRule="auto"/>
        <w:tabs>
          <w:tab w:leader="none" w:pos="15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i w:val="1"/>
          <w:iCs w:val="1"/>
          <w:color w:val="auto"/>
        </w:rPr>
        <w:t>Overseas Data Disclosures</w:t>
      </w:r>
      <w:r>
        <w:rPr>
          <w:rFonts w:ascii="Times New Roman" w:cs="Times New Roman" w:eastAsia="Times New Roman" w:hAnsi="Times New Roman"/>
          <w:sz w:val="18"/>
          <w:szCs w:val="18"/>
          <w:color w:val="auto"/>
        </w:rPr>
        <w:t>: The legislation introduced a 'white list' of countries deemed to have adequate data protection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facilitating international data transfers while ensuring privacy standards.</w:t>
      </w:r>
    </w:p>
    <w:p>
      <w:pPr>
        <w:spacing w:after="0" w:line="50" w:lineRule="exact"/>
        <w:rPr>
          <w:sz w:val="20"/>
          <w:szCs w:val="20"/>
          <w:color w:val="auto"/>
        </w:rPr>
      </w:pPr>
    </w:p>
    <w:p>
      <w:pPr>
        <w:ind w:left="1540" w:hanging="508"/>
        <w:spacing w:after="0" w:line="284" w:lineRule="auto"/>
        <w:tabs>
          <w:tab w:leader="none" w:pos="15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i w:val="1"/>
          <w:iCs w:val="1"/>
          <w:color w:val="auto"/>
        </w:rPr>
        <w:t>Strengthened Data Security Measures</w:t>
      </w:r>
      <w:r>
        <w:rPr>
          <w:rFonts w:ascii="Times New Roman" w:cs="Times New Roman" w:eastAsia="Times New Roman" w:hAnsi="Times New Roman"/>
          <w:sz w:val="18"/>
          <w:szCs w:val="18"/>
          <w:color w:val="auto"/>
        </w:rPr>
        <w:t>: Organizations are now required to implement robust technical and organizational measures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safeguard personal data, with clearer guidelines on data breach notifications.</w:t>
      </w:r>
    </w:p>
    <w:p>
      <w:pPr>
        <w:spacing w:after="0" w:line="50" w:lineRule="exact"/>
        <w:rPr>
          <w:sz w:val="20"/>
          <w:szCs w:val="20"/>
          <w:color w:val="auto"/>
        </w:rPr>
      </w:pPr>
    </w:p>
    <w:p>
      <w:pPr>
        <w:ind w:left="1540" w:right="20" w:hanging="508"/>
        <w:spacing w:after="0" w:line="284" w:lineRule="auto"/>
        <w:tabs>
          <w:tab w:leader="none" w:pos="15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i w:val="1"/>
          <w:iCs w:val="1"/>
          <w:color w:val="auto"/>
        </w:rPr>
        <w:t>Criminalization of Doxxing</w:t>
      </w:r>
      <w:r>
        <w:rPr>
          <w:rFonts w:ascii="Times New Roman" w:cs="Times New Roman" w:eastAsia="Times New Roman" w:hAnsi="Times New Roman"/>
          <w:sz w:val="18"/>
          <w:szCs w:val="18"/>
          <w:color w:val="auto"/>
        </w:rPr>
        <w:t>: Publishing personal information online with harmful intent, known as doxxing, became a criminal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offense punishable by up to six years in prison, increasing to seven years if motivated by discrimination.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Mandatory Climate Reporting and Greenwashing Enforcement</w:t>
      </w:r>
    </w:p>
    <w:p>
      <w:pPr>
        <w:spacing w:after="0" w:line="22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On March 31, 2025, The ASIC released Regulatory Guide 280 Sustainability reporting, providing guidance on mandatory sustainability report preparation and disclosure obligations under the Corporations Act 2001 (Cth).</w:t>
      </w:r>
    </w:p>
    <w:p>
      <w:pPr>
        <w:spacing w:after="0" w:line="16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ASIC has indicated it will take a pragmatic and proportionate approach to supervision and enforcement of sustainability reports and early stages of the regime, in support of the primary goal of facilitating high quality climate reporting by large Australian business and financial institution.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Reforms to Merger Regulations</w:t>
      </w:r>
    </w:p>
    <w:p>
      <w:pPr>
        <w:spacing w:after="0" w:line="22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Treasury Laws Amendment (Mergers and Acquisitions Reform) Act 2024 (Cth), passed on 28 November 2024, substantially reformed Australia’s merger control framework.</w:t>
      </w:r>
    </w:p>
    <w:p>
      <w:pPr>
        <w:spacing w:after="0" w:line="162"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From July 1, 2025, Australia entered a transitional period in which businesses could voluntarily notify the ACCC of transactions under the new merger regime. The mandatory regime requiring all acquisitions meeting prescribed thresholds to be notified to the ACCC has been in effect from January 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Strengthening Financial Market Infrastructure</w:t>
      </w:r>
    </w:p>
    <w:p>
      <w:pPr>
        <w:spacing w:after="0" w:line="22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Proposed reforms to the Corporations Act 2001 included granting the Reserve Bank of Australia (RBA) enhanced crisis management powers over Clearing and Settlement (CS) facilities. These powers were designed to allow the RBA to respond effectively to acute crises, preventing disorderly wind-downs of CS facilities and safeguarding financial system stability.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Cybersecurity Obligations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Australia’s Cyber Security Act 2024 (Cth), commenced on November 29, 2024, introduced new cybersecurity measures targeting critical sectors, including financial services.</w:t>
      </w:r>
    </w:p>
    <w:p>
      <w:pPr>
        <w:jc w:val="both"/>
        <w:ind w:left="760"/>
        <w:spacing w:after="0" w:line="260" w:lineRule="auto"/>
        <w:rPr>
          <w:sz w:val="20"/>
          <w:szCs w:val="20"/>
          <w:color w:val="auto"/>
        </w:rPr>
      </w:pPr>
      <w:r>
        <w:rPr>
          <w:rFonts w:ascii="Times New Roman" w:cs="Times New Roman" w:eastAsia="Times New Roman" w:hAnsi="Times New Roman"/>
          <w:sz w:val="18"/>
          <w:szCs w:val="18"/>
          <w:color w:val="auto"/>
        </w:rPr>
        <w:t>From May 29, 2025, businesses must report any payments or benefits given in response to a ransomware extortion demand within 72 hours to the Department of Home Affairs and the Australian Signals Directorate.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AML/CTF Reform</w:t>
      </w:r>
    </w:p>
    <w:p>
      <w:pPr>
        <w:spacing w:after="0" w:line="22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On August 29, 2025, AUSTRAC tabled the new Anti-Money Laundering and Counter-Terrorism Financing Rules 2025 in Parliament, following a two-stage public consultation process. The Rules provide detailed obligations to support the amended Anti-Money Laundering and Counter-Terrorism Financing 2006 Act (Cth).</w:t>
      </w:r>
    </w:p>
    <w:p>
      <w:pPr>
        <w:spacing w:after="0" w:line="176"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AML/CTF reforms are scheduled to commence on July 1, 2026 for Tranche 2 entities including the legal, accounting, real estate and jeweller industries. Existing reporting entities must implement the new Rules from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 Regulations Relating to Securities and Futures Brokerage Providers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Tiger Brokers HK is a licensed corporation of the Securities and Futures Commission of Hong Kong (“SFC”) holding Type 1 (“Dealing in Securities”), Type 2 (“Dealing in Futures Contracts”), Type 4 (“Advising on Securities”), Type 5 (“Advising on Futures Contracts”) and Type 9 (“Asset Management”) licenses.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and Futures Ordinance (“SFO”), including its subsidiary legislation, is the principal legislation regulating the securities and futures industry in Hong Kong. In particular, Part V of the SFO deals with licensing and registration matters. The SFO is administered by SFC which is an independent statutory body in Hong Kong set up to regulate the securities and futures markets and the non-bank leveraged foreign exchange market in Hong Kong.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Companies (Winding Up and Miscellaneous Provisions) Ordinance including its subsidiary legislation provides that SFC is responsible for authorizing the registration of prospectuses for offerings of shares and debentures in Hong Kong and/or granting exemptions from strict compliance with the provisions in the Hong Kong Companies (Winding Up and Miscellaneous Provisions) Ordinance. The SFO provides that SFC is also responsible for authorizing certain securities (including the relevant offering documents) that are not shares or debentures.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Hong Kong securities and futures industry (with respect to listed instruments) is also governed by the rules and regulations introduced and administered by the Hong Kong Stock Exchange and the Hong Kong Futures Exchange (jointly as “HKEX”).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 Regulations Relating to Trust Services Providers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Anti-Money Laundering and Counter-Terrorist Financing Ordinance (Chapter 615 of the Laws of Hong Kong), or the AMLCTFO, trust or company service providers, or TCSPs, in Hong Kong need to apply for a license which is conditional on certain personnel (including the ultimate owners) of such companies having satisfied a “fit and proper” test. The AMLCTFO also requires TCSPs to comply with the applicable statutory customer due diligence and record-keeping requirements. TCSPs are regulated by the Registrar of Companies, through the Hong Kong Companies Registry, and are subject to its oversight.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TCSP is defined in the AMLCTFO to be a corporation which carries on a business providing trust or company services. Trust service as defined encompasses the provision in Hong Kong, by way of business, of the service of acting, or arranging for another person to act (i) as a trustee of an express trust or a similar legal arrangement; or (ii) as a nominee shareholder for a person other than a corporation whose securities are listed on a recognized stock market. On the other hand, company service encompasses the provision in Hong Kong, by way of business, of the service of (i) forming corporations or other legal persons; (ii) acting or arranging for another person to act as a director or a secretary of a corporation, as a partner of a partnership, or in a similar position in relation to other legal persons; and/or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8"/>
        <w:spacing w:after="0" w:line="282" w:lineRule="auto"/>
        <w:tabs>
          <w:tab w:leader="none" w:pos="3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registered office, business address, correspondence or administrative address for a corporation, a partnership or any other legal person or legal arrangement.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TCSP license is usually valid for a period of three years and renewable upon re-assessment of fit and proper requirements. Our indirect wholly-owned subsidiary, Kastle Limited, was granted a TCSP license for a period of three years starting from January 29, 2019 and renewed subsequently, the new TCSP license is valid from January 29, 2025 to January 28, 2028. An application for license renewal must be made at least 60 days before it is due to expire.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Requirements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licensed TCSPs are required to, on an ongoing basis, comply with its licensing conditions (if any) as well as the relevant provisions in the AMLCTFO and the guidelines issued by the Companies Registry from time to time, including those relating to customer due diligence and record keeping requirements. To this end, the senior management of licensed TCSPs are also required to appoint: (i) a director or senior manager as a compliance office, or CO, who has overall responsibility for the establishment and maintenance of the licensee’s anti-money laundering and counter-terrorist financing systems; and (ii) a senior member of the licensee’s staff as the money laundering reporting officer, or MLRO, who is the central reference point for reporting suspicious transactions.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that the CO and MLRO may discharge their responsibilities, the licensed TCSP’s senior management should ensure as far as practicable that the CO and MLRO are independent of all operational and business functions, normally based in Hong Kong, capable of accessing all available information, fully conversant in the relevant statutory and regulatory requirements and risks, provided with regular access to senior management, and of a sufficient level of seniority and authority. Depending on the scale, operation, nature of business and risk profile of the licensed TCSP, the same person may be appointed as its CO and MLRO. Given the relatively small size of Kastle Limited, Mr. Su Yansong has been appointed as both its CO and MLRO since January 26,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British Virgin Regulations Relating to Trust Services Providers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British Virgin Islands, persons carrying on trust business are required to be licensed under the Banks and Trust Companies Act, 1990 (as amended) (the “BTCA”) and Regulatory Code, 2009 (the “Code”). Trust companies are regulated by the BVI Financial Services Commission (the “FSC”), which is responsible for the licensing, supervision and ongoing regulation of trust service providers in the jurisdiction.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BTCA, a Restricted Class II Trust Licence permits the licensee to carry on trust business in or from within the British Virgin Islands, subject to specific restrictions, including that the licensee can only carry on trust business, not exceeding fifty trusts.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Applicants for a trust license are required to satisfy the FSC that they, and their directors, shareholders and key functionaries, are fit and proper persons. In addition, the FSC will assess the applicant’s business plan, governance structure, internal controls, and compliance framework before granting the license.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Licensed trust companies in the British Virgin Islands are subject to ongoing regulatory obligations, including compliance with the BTCA, and other applicable regulatory guidelines issued by the FSC. Such obligations include, among others, the implementation of adequate customer due diligence procedures, record-keeping requirements, and the establishment of effective internal controls and risk management systems.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Zealand Regulations on Tax</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New Zealand imposes income tax on the worldwide income of New Zealand tax residents, and also on all income that is treated as having a New Zealand source for New Zealand income tax purposes derived by non-New-Zealand tax residents. New Zealand does not currently have an express capital gains tax (although such a tax has been considered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various policy makers). The concept of income for New Zealand income tax purposes includes amounts that may be viewed as capital in some other jurisdictions, and in some cases includes deemed or attributable income that may not correlate in terms of timing or quantum with monetary receipts or actual economic gains.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company will be treated as being resident in New Zealand for income tax purposes if it is incorporated in New Zealand, has its head office in New Zealand, has its center of management in New Zealand, or its directors, in their capacity as directors, exercise control of the company in New Zealand, even if the directors’ decision-making also occurs outside New Zealand.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rate of income tax for New Zealand tax resident companies, and companies that are not New Zealand tax resident companies but which derive New Zealand sourced income, is currently 28%.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paid by a New Zealand tax resident company can give rise to imputation credits that, subject to sufficient continuity of ownership being maintained in respect of the company, can be attached to dividends that the company pays. Such imputation credits attached to dividends may reduce the amount of New Zealand withholding tax and New Zealand income tax that is payable by the recipient of the dividend.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Dividends paid by a New Zealand tax resident company may be subject to withholding tax. The rate of withholding tax for dividends paid to a shareholder which is not a New Zealand tax resident is up to 30%. It is possible in certain circumstances for a New Zealand tax resident company to pay a supplementary dividend that effectively eliminates the monetary effect of non-resident withholding tax on dividends paid to foreign shareholders who hold a less than 10% interest, where and to the extent, the dividend is fully imputed. No withholding tax or income tax is usually payable when dividends are paid between companies that are both New Zealand tax resident and members of the same wholly owned group of companies, or where a cash dividend with full imputation credits attached is paid to a non-resident who holds at least 10% direct ownership interest of the dividend paying company.</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rate of tax imposed on taxpayers who are tax resident in a jurisdiction that New Zealand has entered into a double tax agreement with may have the rate of New Zealand tax, whether income tax or withholding tax, imposed on them reduced by the terms of that double tax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Zealand also imposes goods and services tax, or GST, on supplies deemed to be made in New Zealand of most goods and services. The rate of GST is usually 15%. GST is also imposed on certain imports of goods and services into New Zealand. Certain supplies such as financial services, as defined, are generally exempt from GST. Goods consumed outside of New Zealand and services supplied to non-resident located outside New Zealand at the time the services are performed, and services physically performed outside New Zealand (excluding remote services) supplied to a New Zealand GST registered person, are generally subject to GST at a reduced rate of 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Zealand Regulations on the Application of the Common Reporting Standard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July 2014, the Organization for Economic Co-operation and Development, or the OECD, approved the </w:t>
      </w:r>
      <w:r>
        <w:rPr>
          <w:rFonts w:ascii="Times New Roman" w:cs="Times New Roman" w:eastAsia="Times New Roman" w:hAnsi="Times New Roman"/>
          <w:sz w:val="18"/>
          <w:szCs w:val="18"/>
          <w:i w:val="1"/>
          <w:iCs w:val="1"/>
          <w:color w:val="auto"/>
        </w:rPr>
        <w:t>Common Reporting Standard (CRS)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Automatic Exchange of Financial Account Information in Tax Matters (AEOI) </w:t>
      </w:r>
      <w:r>
        <w:rPr>
          <w:rFonts w:ascii="Times New Roman" w:cs="Times New Roman" w:eastAsia="Times New Roman" w:hAnsi="Times New Roman"/>
          <w:sz w:val="18"/>
          <w:szCs w:val="18"/>
          <w:color w:val="auto"/>
        </w:rPr>
        <w:t>to provide a global framework for the collection, reporting, and exchange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account information about persons that invest outside of their jurisdiction of tax residence. This aim of the CRS is to detect and deter offshore tax evasion and the CRS requires financial institutions to carry out certain due diligence and reporting measures, including but not limited to, review of their financial accounts so as to identify the accounts held or controlled by relevant foreign tax residents and collect and, in the case where an AEOI agreement in place between the two jurisdictions requiring the provision of such information, report the relevant information to the local revenue authority for exchange with the jurisdiction(s) of tax residence of the account holder or controlling person.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New Zealand Government has made international commitments to implement the CRS in full accordance with the CRS and also the commentary to the CRS with supplements of the aforementioned due diligence and reporting measures. Therefore, both the CRS and the CRS commentary have been directly incorporated into New Zealand law, subject to certain modifications set out in the Tax Administration Act 1994, and the CRS started to apply in New Zealand from July 1, 2017. Further, New Zealand has adopted different standards of due diligence and reporting requirements for different financial accounts. A pre-existing individual account that is a cash value insurance contract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an annuity contract is not required to be reviewed, identified or reported, provided the reporting financial institution is effectively prevented by law from selling such contract to residents of a reportable jurisdiction while the procedures also vary with the value of the accounts.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New Zealand entities, Tiger Brokers (NZ) Limited and Tiger Fintech (NZ) Limited, as New Zealand financial institutions, are required to annually report, with the coverage of the year ended March 31, the account and identity information of account holders that are reportable persons to the New Zealand Inland Revenue Department. This will be exchanged with the person’s jurisdiction(s) of tax residence if New Zealand has an AEOI agreement to provide this information to that jurisdiction or those jurisdictions, and the information about certain individual accounts that the CRS refers to as being “undocumented accounts” where the institution has not been able to identify the person’s tax residency. We have completed all required CRS disclosure reports to the New Zealand Inland Revenue Department.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on Dividend Withholding Tax</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Double Tax Avoidance Arrangement, and other applicable PRC laws, if a Hong Kong resident enterprise is determined by the competent PRC tax authority to have satisfied the relevant conditions and requirements under the Double Tax Avoidance Arrangement and other applicable laws, the 10% withholding tax on the dividends the Hong Kong resident enterprise receives from a PRC resident enterprise may be reduced to 5% upon conducting prescribed registration procedures with the competent authority. However, based on the </w:t>
      </w:r>
      <w:r>
        <w:rPr>
          <w:rFonts w:ascii="Times New Roman" w:cs="Times New Roman" w:eastAsia="Times New Roman" w:hAnsi="Times New Roman"/>
          <w:sz w:val="18"/>
          <w:szCs w:val="18"/>
          <w:i w:val="1"/>
          <w:iCs w:val="1"/>
          <w:color w:val="auto"/>
        </w:rPr>
        <w:t>Circular on the Issues concerning the Application of the 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Clauses of Tax Agreements </w:t>
      </w:r>
      <w:r>
        <w:rPr>
          <w:rFonts w:ascii="Times New Roman" w:cs="Times New Roman" w:eastAsia="Times New Roman" w:hAnsi="Times New Roman"/>
          <w:sz w:val="18"/>
          <w:szCs w:val="18"/>
          <w:color w:val="auto"/>
        </w:rPr>
        <w:t>issued on February 20, 2009 by the SAT, if the relevant PRC tax authorities determine, in their discretion, that a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benefits from such reduced income tax rate due to a structure or arrangement that is primarily tax-driven, such PRC tax authorities may adjust the preferential tax treatment; and based on the Announcement of the </w:t>
      </w:r>
      <w:r>
        <w:rPr>
          <w:rFonts w:ascii="Times New Roman" w:cs="Times New Roman" w:eastAsia="Times New Roman" w:hAnsi="Times New Roman"/>
          <w:sz w:val="18"/>
          <w:szCs w:val="18"/>
          <w:i w:val="1"/>
          <w:iCs w:val="1"/>
          <w:color w:val="auto"/>
        </w:rPr>
        <w:t>State Administration of Taxation on Issues Relating to “Beneficial Owner” in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Treaties</w:t>
      </w:r>
      <w:r>
        <w:rPr>
          <w:rFonts w:ascii="Times New Roman" w:cs="Times New Roman" w:eastAsia="Times New Roman" w:hAnsi="Times New Roman"/>
          <w:sz w:val="18"/>
          <w:szCs w:val="18"/>
          <w:color w:val="auto"/>
        </w:rPr>
        <w:t>, issued on February 3, 2018 by the SAT, Beneficial Owner refers to a person who owns and controls the income or the rights or property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such income is derived. The Announcement also lays out the SAT negative factors that shall be taken into account when assessing whether a recipient of China-source income is a Beneficial Owner under tax treaty. Generally, conduit companies, which are established for the purpose of evading or reducing tax, or transferring or accumulating profits, will not be recognized as beneficial owners and thus are not entitled to the above-mentioned reduced income tax rate of 5% under the Double Tax Avoidance Arrangement.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Tax regarding Indirect Transfer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February 3, 2015, the State Administration of Taxation, or the SAT, issued the SAT Circular 7. Pursuant to the SAT Circular 7, an “indirect transfer” of assets, including equity interests in a PRC resident enterprise, by non-PRC resident enterprises, may be re-characterized and treated as a direct transfer of PRC taxable assets, if such arrangement does not have a reasonable commercial purpose and is established for the purpose of avoiding payment of PRC enterprise income tax. As a result, gains derived from such indirect transfer may be subject to PRC enterprise income tax. When determining whether there is a “reasonable commercial purpose” of the transaction arrangement, considerations include,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(i) whether the main value of the equity interest of the relevant offshore enterprise derives directly or indirectly from PRC taxable assets; (ii) whether the assets of the relevant offshore enterprise mainly consists of direct or indirect investment in China or if its income is mainly derived from China; and (iii) whether the offshore enterprise and its subsidiaries directly or indirectly holding PRC taxable assets have real commercial nature evidenced by their actual function and risk exposure. According to the SAT Circular 7, where the payer fails to withhold any or sufficient tax, the transferor shall declare and pay such tax to the tax authority by itself within the statutory time limit. Late payment of applicable tax will subject the transferor to default interest. The SAT Circular 7 does not apply to transactions of sale of shares by investors through a public stock exchange where such shares were acquired on a public stock exchange. On October 17, 2017, the SAT issued the </w:t>
      </w:r>
      <w:r>
        <w:rPr>
          <w:rFonts w:ascii="Times New Roman" w:cs="Times New Roman" w:eastAsia="Times New Roman" w:hAnsi="Times New Roman"/>
          <w:sz w:val="18"/>
          <w:szCs w:val="18"/>
          <w:i w:val="1"/>
          <w:iCs w:val="1"/>
          <w:color w:val="auto"/>
        </w:rPr>
        <w:t>Circular on Issues of Tax Withholding regarding Non-PRC Resident Enterprise Income Tax</w:t>
      </w:r>
      <w:r>
        <w:rPr>
          <w:rFonts w:ascii="Times New Roman" w:cs="Times New Roman" w:eastAsia="Times New Roman" w:hAnsi="Times New Roman"/>
          <w:sz w:val="18"/>
          <w:szCs w:val="18"/>
          <w:color w:val="auto"/>
        </w:rPr>
        <w:t>, or the SAT Circular 37, which further elaborates the relevant implemental rules regarding the calculation, reporting and payment obligations of the withholding tax by the non-resident enterprises. Nonetheless, there remain uncertainties as to the interpretation and application of the SAT Circular 7. The SAT Circular 7 may be determined by the tax authorities to be applicable to our offshore transactions or sales of our shares or those of our offshore subsidiaries where non-resident enterprises, being the transferors, were involved.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on Enterprise Income Tax</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i w:val="1"/>
          <w:iCs w:val="1"/>
          <w:color w:val="auto"/>
        </w:rPr>
        <w:t>Enterprise Income Tax Law of the PRC</w:t>
      </w:r>
      <w:r>
        <w:rPr>
          <w:rFonts w:ascii="Times New Roman" w:cs="Times New Roman" w:eastAsia="Times New Roman" w:hAnsi="Times New Roman"/>
          <w:sz w:val="18"/>
          <w:szCs w:val="18"/>
          <w:color w:val="auto"/>
        </w:rPr>
        <w:t>, or the EIT Law, which became effective on January 1, 2008 and was amended on February 24, 2017 and December 29, 2018, and its implementing rules, enterprises are classified as resident enterprises and non-resident enterprises. PRC resident enterprises typically pay enterprise income tax at the rate of 25%, while non-PRC resident enterprises without any branches in the PRC pay an enterprise income tax in connection with their income from the PRC at the tax rate of 10%. An enterprise established outside China but with its “de facto management body” located within China is considered a “resident enterprise,” which means that it is treated in a manner similar to a PRC domestic enterprise for enterprise income tax purposes. The implementing rules of the EIT Law define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as a managing body that in practice exercises “substantial and overall management and control over the production and operations, personnel, accounting, and properties” of the enterprise.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EIT Law and the implementation rules provide that an income tax rate of 10% will normally be applicable to dividends payable to investors that are “non-resident enterprises,” and gains derived by such investors, which (i) do not have an establishment or place of business in the PRC or (ii) have an establishment or place of business in the PRC, but the relevant income is not effectively connected with the establishment or place of business to the extent that such dividends and gains are derived from sources within the PRC. Such income tax on the dividends may be reduced pursuant to a tax treaty between China and other jurisdictions.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Value-Added Tax</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Provisional Regulation of the PRC on Value-Added Tax issued by the State Council, effective on January 1, 1994, which was amended on November 10, 2008, February 6, 2016 and on November 19, 2017, or the Provisional Regulation, and its Implementing Rules, all entities and individuals that are engaged in the sale of goods, the provision of processing, repairs and installation services, sales of services, intangible assets, real property and the importation of goods in the PRC are required to pay a value-added tax, or VAT. According to the Provisional Regulation, the generally applicable VAT rates are simplified as 17%, 11%, 6% and 0%, and the VAT rate applicable to the small-scale taxpayers is 3%.</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4, 2018, the Ministry of Finance and the SAT issued the Circular on Adjustment of Value-added Tax Rates. According to which relevant Value-added Tax rates have been reduced from May 1, 2018 and April 1, 2019, such as the deduction rates of 17% and 11% applicable to the taxpayers who have Value-Added taxable sales activities or imported goods have been adjusted to 13% and 9%,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most of our entities were subject to the value-added tax at the rate of 6% for services provided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Organizational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Fintech is a holding company with no material operations of its own. We conduct our operations primarily through our New Zealand subsidiaries,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Singapore subsidiaries, Hong Kong subsidiaries and the VIEs and their respective subsidiaries in China.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listing of the Company’s principal subsidiaries directly and indirectly held and VIEs as of the date of this annual report is set forth in Exhibit 8.1 to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Property, Plants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headquartered in Singapore, where we lease 16,340 square feet. In addition, we also have leased properties principally for our operations in Beijing, Auckland, Sydney, Singapore, the State of New York, United States, Hong Kong and other cities in China. Our leased premises are leased from unrelated third parties who either have valid titles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relevant properties or proper authorization from the title holder to sublease the property. We believe that we will be able to obtain adequate facilities, principally through leasing, to accommodate our future expansion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the Company’s financial condition and results of operations should be read in conjunction with the Consolidated Financial Statements, including the notes thereto, included in this annual report, as well as “Presentation of Financial and Certain Other Information,” Item</w:t>
      </w:r>
    </w:p>
    <w:p>
      <w:pPr>
        <w:ind w:firstLine="8"/>
        <w:spacing w:after="0" w:line="260" w:lineRule="auto"/>
        <w:tabs>
          <w:tab w:leader="none" w:pos="20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 – Certain Risks Related to Our Chinese Operations and Operating Structure” Item 3.D. “Risk Factors” and Item 4.B. “Business Overview.”</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includes certain forward-looking statements. Actual results may differ materially from those discussed in such forward-looking statements. Factors that could cause or contribute to such differences include, but are not limited to, those discussed below and elsewhere in this annual report, including in “Item 5.G. Safe Harbor”, “Item 3. Key Information – Certain Risks Related to Our Chinese Operations and Operating Structure”, and “ Item 3.D. 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leading integrated financial technology platform providing cross-market, multi-product investment experience for investors around the world. Our proprietary trading platform enables investors to trade in equities and other financial instruments on multiple exchanges around the world.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offer comprehensive brokerage services through our integrated single-account structure, which empowers users in trade execution, margin financing and securities lending across different global markets. We also provide value-added services, such as investor education, community engagement and IR platform, all within a few taps or clicks through APP on smartphone, tablet and PC terminals.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generate revenues primarily by charging our customers commission fees for trading of securities as well as earning interest income or financing service fees arising from or related to margin financing provided by ourselves or third parties to our customers to finance their trading activities.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achieved substantial growth since we launched our platform in August 2015. Our total revenues were US$272.5 million, US$391.5 million and US$612.1 million in 2023, 2024 and 2025, respectively. We generated net income of US$33.0 million, US$61.4 million and US$171.5 million in 2023, 2024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commenced our technology research and development in June 2014 through one of the VIEs, Beijing Rongke. To facilitate foreign investment in our business, starting from early 2018, we began to establish an offshore holding structure for our company. As part of the efforts, we incorporated UP Fintech Holding Limited in January 2018, which controls Beijing Rongke and its subsidiaries through a series of contractual arrangements. See Item 4.A “History and Development of the Company-Reorganization.”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in June 2018, UP Fintech Holding Limited issued Series Angel (in four tranches), Series A, Series B-1, and Series B-2 preferred shares to the shareholders of Beijing Rongke or their affiliates or designees to replicate the corresponding Series Angel (in four tranches), Series A, Series B, and Series B+ equity interest with preferred rights issued by Beijing Rongke prior to the reorganization, all of which converted to Class A ordinary shares of the Company in connection with the completion of our initial public offering. UP Fintech Holding Limited also adopted a new share incentive plan, or the 2018 Share Incentive Plan, to replicate and replace the equity incentive plan adopted by Beijing Rongke in 2014.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our business and operating results are affected by general factors affecting the online brokerage industry, which include economic and political conditions, broad trends in business and finance, changes in volume of securities transactions, changes in the markets in which such transactions occur and changes in how such transactions are processed, growth of private wealth of our existing and potential customers, demand for global asset allocation as well as changes in the regulatory regime over the online brokerage industry and the Internet industry. Unfavorable changes in any of these general financial and regulatory conditions, reduction in trading volume in the U.S. and Hong Kong stocks and other financial instruments, unfavorable currency fluctuations and volatility of the trading activity on exchanges in the United States and other countries could negatively affect demand for our services and materially and adversely affect our results of operations.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believe our results of operations are more directly affected by company specific factors, including our ability to: maintain and expand our customer base globally, maintain and enhance customer engagement, earn commissions for brokerage services and interest income or financing service fees for margin financing, effectively improve technology infrastructure and serve more consolidated accounts, develop a diverse customer base and offer new and innovative products and services, and operate in a cost-effective manner. In addition, the laws, regulations and governmental policies of various jurisdictions may impact our operations, including New Zealand, U.S., PRC, Singapore, Australia and Hong Kong laws and regulations. See Item 4.B “Business Overview” for a summary of the principal applicable laws which may affect our business.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the risks and complexities inherent in doing business in international markets, some of which, such as those associated with an uncertain regulatory environment. Restrictive regulations or government intervention in any of the regions in which we operate (including China, Singapore, Hong Kong and the United States) and the interaction thereof could impact the conduct of security transactions and affect our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continue to expand our operations to new markets and into new services lines in the future. We believe that customers from new markets and customers interested in new services will increase demand for our products and services and, consequentially, may turn these markets and/or products into growth drivers in future years. However, we cannot guarantee that we will be successful in growing our customer base or our operations on our desired timeline or at all.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capital markets worldwide may remain volatile or increase in volatility in the coming year due to continued tightening of monetary policy by central banks, increased market interest rates, the prospect or perception of recession or inflation, geopolitical factors such as the war in Ukraine, and other macroeconomic factors. These factors may have a negative impact on the financial position of our customers, which could decrease trading volume and negatively impact demand for our services and, consequently, our commissions, but they may also represent opportunities for us to increase our interest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list of recently issued accounting pronouncements that are relevant to us is included in Note 2 to our audited consolidated financial statements included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revenues consist of commissions, financing service fees, interest income, and other revenues. The following table sets forth the breakdown of our total revenues, both in absolute amount and as a percentage of our total revenues, for the years indicated: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8"/>
        </w:trPr>
        <w:tc>
          <w:tcPr>
            <w:tcW w:w="1300" w:type="dxa"/>
            <w:vAlign w:val="bottom"/>
            <w:tcBorders>
              <w:top w:val="single" w:sz="8" w:color="0000FF"/>
            </w:tcBorders>
          </w:tcPr>
          <w:p>
            <w:pPr>
              <w:spacing w:after="0"/>
              <w:rPr>
                <w:sz w:val="24"/>
                <w:szCs w:val="24"/>
                <w:color w:val="auto"/>
              </w:rPr>
            </w:pPr>
          </w:p>
        </w:tc>
        <w:tc>
          <w:tcPr>
            <w:tcW w:w="17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60" w:type="dxa"/>
            <w:vAlign w:val="bottom"/>
            <w:tcBorders>
              <w:top w:val="single" w:sz="8" w:color="auto"/>
            </w:tcBorders>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US$</w:t>
            </w:r>
          </w:p>
        </w:tc>
        <w:tc>
          <w:tcPr>
            <w:tcW w:w="9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top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US$</w:t>
            </w: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580" w:type="dxa"/>
            <w:vAlign w:val="bottom"/>
            <w:tcBorders>
              <w:top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US$</w:t>
            </w:r>
          </w:p>
        </w:tc>
        <w:tc>
          <w:tcPr>
            <w:tcW w:w="9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209"/>
        </w:trPr>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85"/>
              </w:rPr>
              <w:t>(in</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thousands except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6"/>
              </w:rPr>
              <w:t>for</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percentages)</w:t>
            </w:r>
          </w:p>
        </w:tc>
        <w:tc>
          <w:tcPr>
            <w:tcW w:w="2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Commissions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92,594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159,045</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266,835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8"/>
                <w:szCs w:val="18"/>
                <w:color w:val="auto"/>
              </w:rPr>
            </w:pPr>
          </w:p>
        </w:tc>
      </w:tr>
      <w:tr>
        <w:trPr>
          <w:trHeight w:val="216"/>
        </w:trPr>
        <w:tc>
          <w:tcPr>
            <w:tcW w:w="30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Financing service fees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12,179</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11,312</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r>
      <w:tr>
        <w:trPr>
          <w:trHeight w:val="216"/>
        </w:trPr>
        <w:tc>
          <w:tcPr>
            <w:tcW w:w="3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149,291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191,755</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256,997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8"/>
                <w:szCs w:val="18"/>
                <w:color w:val="auto"/>
              </w:rPr>
            </w:pPr>
          </w:p>
        </w:tc>
      </w:tr>
      <w:tr>
        <w:trPr>
          <w:trHeight w:val="216"/>
        </w:trPr>
        <w:tc>
          <w:tcPr>
            <w:tcW w:w="300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revenues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18,444</w:t>
            </w:r>
          </w:p>
        </w:tc>
        <w:tc>
          <w:tcPr>
            <w:tcW w:w="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29,430</w:t>
            </w: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77,510</w:t>
            </w:r>
          </w:p>
        </w:tc>
        <w:tc>
          <w:tcPr>
            <w:tcW w:w="2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272,508</w:t>
            </w:r>
          </w:p>
        </w:tc>
        <w:tc>
          <w:tcPr>
            <w:tcW w:w="2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391,542</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612,065</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18"/>
                <w:szCs w:val="18"/>
                <w:color w:val="auto"/>
              </w:rPr>
            </w:pPr>
          </w:p>
        </w:tc>
      </w:tr>
      <w:tr>
        <w:trPr>
          <w:trHeight w:val="209"/>
        </w:trPr>
        <w:tc>
          <w:tcPr>
            <w:tcW w:w="30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(46,958)</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72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(60,804)</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(15.5)</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(73,356)</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09"/>
        </w:trPr>
        <w:tc>
          <w:tcPr>
            <w:tcW w:w="30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225,550</w:t>
            </w:r>
          </w:p>
        </w:tc>
        <w:tc>
          <w:tcPr>
            <w:tcW w:w="26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82.8</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330,738</w:t>
            </w:r>
          </w:p>
        </w:tc>
        <w:tc>
          <w:tcPr>
            <w:tcW w:w="22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22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538,709</w:t>
            </w:r>
          </w:p>
        </w:tc>
        <w:tc>
          <w:tcPr>
            <w:tcW w:w="20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w:t>
            </w:r>
          </w:p>
        </w:tc>
        <w:tc>
          <w:tcPr>
            <w:tcW w:w="100" w:type="dxa"/>
            <w:vAlign w:val="bottom"/>
            <w:tcBorders>
              <w:top w:val="single" w:sz="8" w:color="CFF0FC"/>
            </w:tcBorders>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-462280</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-462280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-462280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-462280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-462280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-170815</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-170815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-170815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-170815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Commissions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earn commissions from the brokerage services we deliver for customers’ fully disclosed accounts and consolidated accounts. See Item 4.B “Business Overview-Our Core Products and Services-Brokerage Services-Types of Accounts.” We charge commission fees based on the amount of transaction volume, or the number of shares, lots or contracts in each order, which generally vary in accordance with the type of products or services, timing of account activation, eligibility for discounts and other factors. In 2023, 2024 and 2025, the average rate of commissions over trading volume was 0.0315%, 0.0288% and 0.0260%, respectively, which is the ratio of the total commissions to the total trading volume in the same period. The decrease in the average commission rates was primarily the lower average fee rate attributable to industry competition in the year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agreement with our primary clearing agent, Interactive Brokers, we receive a portion of commission fees paid by our customers every time Interactive Brokers executes and clears a trade order. For consolidated accounts, we receive commissions from customers and pay the execution and clearing fees to our clearing agents. For fully disclosed accounts, every time Interactive Brokers executes and clears a trade, it collects the commissions, deducts a certain portion as execution and clearing fees and returns the rest of the commissions to 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service fees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Financing service fees include fees Interactive Brokers paid to us regarding the margin financing and securities borrowing and lending activities provided by Interactive Brokers to our fully disclosed account customers for trading purposes. We generally charge a specific rate above the interest rate of the margin loan or funding from the clearing agents. In 2023, 2024 and 2025, the average annualized rate of financing service fees over the average balance of the margin loans provided by the clearing agents was 3.18%, 2.74% and 1.57%, respectively. The decrease of financing service fees in 2025 compared with 2024 was primarily due to decreased interest rates.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earn interest income from margin financing and securities borrowing and lending activities we provided to our consolidated account customers for trading purposes. In 2023, 2024 and 2025, the average annualized rate of our margin financing and our securities borrowing and lending activities provided by us to the consolidated account customers on our platform was 8.16%, 5.69% and 5.33%, respectively. The increase of interest income in 2025 compared with 2024 was primarily due to the increase in margin financing and securities lending activities of our consolidated account customers, partially offset by decreased interest rates.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earn other revenues primarily from fund management service, initial public offering (“IPO”) distribution service, currency exchange service and other service. Wealth management service is mainly derived from fund management which the Company act as a fund manager mainly in Singapore. Revenues from the IPO distribution service are derived from IPO underwriting fees and new share subscription service fees in relation to IPOs in the USA and Hong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Kong capital markets. IPO distribution revenue is generally recognized when the services are completed. Revenue from currency exchange service is charged to our clients for providing currency exchange service, which was recorded upon the time when the services are rendered to customers. We also earn revenue from promotional and advertisement services, and financial advisory service rendered to customers, which are recorded over the period of service provided.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pay interest expense by borrowing from other licensed financial institutions and other parties to fund our margin financing business, securities borrowing and lending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 and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operating cost and expenses, both in absolute amount and as a percentage of total revenues, for the years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8"/>
          </w:tcPr>
          <w:p>
            <w:pPr>
              <w:ind w:left="6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660" w:type="dxa"/>
            <w:vAlign w:val="bottom"/>
          </w:tcPr>
          <w:p>
            <w:pPr>
              <w:spacing w:after="0"/>
              <w:rPr>
                <w:sz w:val="18"/>
                <w:szCs w:val="18"/>
                <w:color w:val="auto"/>
              </w:rPr>
            </w:pPr>
          </w:p>
        </w:tc>
        <w:tc>
          <w:tcPr>
            <w:tcW w:w="13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660" w:type="dxa"/>
            <w:vAlign w:val="bottom"/>
          </w:tcPr>
          <w:p>
            <w:pPr>
              <w:spacing w:after="0"/>
              <w:rPr>
                <w:sz w:val="18"/>
                <w:szCs w:val="18"/>
                <w:color w:val="auto"/>
              </w:rPr>
            </w:pPr>
          </w:p>
        </w:tc>
        <w:tc>
          <w:tcPr>
            <w:tcW w:w="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8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r>
      <w:tr>
        <w:trPr>
          <w:trHeight w:val="209"/>
        </w:trPr>
        <w:tc>
          <w:tcPr>
            <w:tcW w:w="4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w:t>
            </w:r>
          </w:p>
        </w:tc>
        <w:tc>
          <w:tcPr>
            <w:tcW w:w="220" w:type="dxa"/>
            <w:vAlign w:val="bottom"/>
          </w:tcPr>
          <w:p>
            <w:pPr>
              <w:spacing w:after="0"/>
              <w:rPr>
                <w:sz w:val="18"/>
                <w:szCs w:val="18"/>
                <w:color w:val="auto"/>
              </w:rPr>
            </w:pPr>
          </w:p>
        </w:tc>
        <w:tc>
          <w:tcPr>
            <w:tcW w:w="24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w w:val="94"/>
              </w:rPr>
              <w:t>thousands except for percentages)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Execution and clearing</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9,084</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14,652</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20,538</w:t>
            </w: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r>
      <w:tr>
        <w:trPr>
          <w:trHeight w:val="198"/>
        </w:trPr>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Employee compensation and benefits</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(including share-based compensation)</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100,751</w:t>
            </w:r>
          </w:p>
        </w:tc>
        <w:tc>
          <w:tcPr>
            <w:tcW w:w="2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122,366</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167,170</w:t>
            </w:r>
          </w:p>
        </w:tc>
        <w:tc>
          <w:tcPr>
            <w:tcW w:w="2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Occupancy, depreciation and amortization</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9,387</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8,554</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10,491</w:t>
            </w: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 and market data</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30,831</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38,893</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46,457</w:t>
            </w:r>
          </w:p>
        </w:tc>
        <w:tc>
          <w:tcPr>
            <w:tcW w:w="2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Marketing and branding</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20,860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28,530</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49,463</w:t>
            </w: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21,791</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39,279</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36,209</w:t>
            </w:r>
          </w:p>
        </w:tc>
        <w:tc>
          <w:tcPr>
            <w:tcW w:w="2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4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cost and expenses</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192,704</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70.7</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252,274</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64.4</w:t>
            </w: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330,328</w:t>
            </w: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54.0</w:t>
            </w: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-24765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Execution and clearing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Execution and clearing expenses primarily include the fees we pay to clearing agents to execute and clear trades. We only incur execution and clearing expenses for consolidated accounts as we pay a certain portion of the commission we collect from our customers to clearing agents as execution and clearing expenses. We do not incur execution and clearing expenses for fully disclosed accounts as the revenue is recognized on a net basis.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Employee compensation and benefits expenses include salaries, wages, bonuses, share-based compensation and other benefits for all employees. Our employee compensation and benefits expenses also include salaries, wages, bonuses and other benefits we pay to employees who are in our research and development department, which represent substantially all of our research and development expenses. Research and development expenses primarily consist of salaries and employee benefits, rental, and depreciation expense related to the development of our proprietary trading platform, back-end technology and customer relationship management system.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Occupancy, depreciation and amortization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Occupancy expenses consist primarily of rental payments on office and data center leases and related occupancy costs, such as utilities. Depreciation and amortization expenses result from the depreciation of fixed assets, such as electronic equipment and office equipment, as well as leasehold improvements, and the amortization of intangible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 and market data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Communication and market data expenses are primarily related to the fees we pay to stock exchanges and third parties, including the Nasdaq, New York Stock Exchange, Hong Kong Stock Exchange and Shanghai Stock Exchange,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subscribe for market data and news. These expenses also include bandwidth fees, expenses to acquire or maintain servers and data centers as well as other expenses relating to the telecommunication infrastructure.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and branding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Marketing and branding expenses consist primarily of advertising and promotion expenses, payments to business partners pursuant to the revenue-sharing arrangements, customer referral fees and other expenses associated with our marketing and branding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intermediary service expenses, traveling expenses, business entertainment expenses and miscellaneous expenses relating to our facilities and other administrative expenses. Intermediary service fees primarily consist of fees we pay our professional service providers including our lawyers, accountants and consultants.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income before income taxes, both in absolute amount and as a percentage of our total revenues, for the years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Pr>
          <w:p>
            <w:pPr>
              <w:spacing w:after="0"/>
              <w:rPr>
                <w:sz w:val="18"/>
                <w:szCs w:val="18"/>
                <w:color w:val="auto"/>
              </w:rPr>
            </w:pPr>
          </w:p>
        </w:tc>
        <w:tc>
          <w:tcPr>
            <w:tcW w:w="16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w w:val="70"/>
              </w:rPr>
              <w:t>(in</w:t>
            </w:r>
          </w:p>
        </w:tc>
        <w:tc>
          <w:tcPr>
            <w:tcW w:w="12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thousands except</w:t>
            </w:r>
          </w:p>
        </w:tc>
        <w:tc>
          <w:tcPr>
            <w:tcW w:w="15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for percentages)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272,508</w:t>
            </w:r>
          </w:p>
        </w:tc>
        <w:tc>
          <w:tcPr>
            <w:tcW w:w="24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4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391,542</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612,065</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(46,958)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(60,804)</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(73,356)</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225,550</w:t>
            </w:r>
          </w:p>
        </w:tc>
        <w:tc>
          <w:tcPr>
            <w:tcW w:w="24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64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330,738</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84.5</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538,709</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 and expenses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(192,704)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6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(252,274)</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(64.4)</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(330,328)</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13,148</w:t>
            </w:r>
          </w:p>
        </w:tc>
        <w:tc>
          <w:tcPr>
            <w:tcW w:w="24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(939)</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45,994</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81,764</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20.9</w:t>
            </w: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207,442</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-170815</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-170815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-170815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-170815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2024 and 2025, US$0.6 million, US$0.6 million and US$3.0 million of cybersecurity mitigation costs have been expensed (excluding labor costs), respectively. As discussed in Item 16K. Cybersecurity, On July 10, 2025, we experienced a ransomware attack, resulting in restrictions of access to certain office environment shared folders. For the year ended December 31, 2025, we incurred approximately $1.86 million of costs related to remediation, restoration, communications, investigation and analysis, legal services, and other related expenses on such incident. There were no costs due to cybersecurity incidents in 2023 and 2024, nor was there any impact of cybersecurity incidents on our reportable segments.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subject to income or capital gains tax under the current laws of the Cayman Islands. There are no other taxes likely to be material to us levied by the government of the Cayman Islands.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the BVI are not subject to income or capital gains tax under the current laws of the BVI. There are no other taxes likely to be material to us levied by the government of the BVI.</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Zealand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New Zealand are subject to an income tax rate of 28% for taxable income earned in New Zealand. Dividends between members of the same wholly owned group are exempt income and therefore are not subject to withholding tax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subsidiaries incorporated in Hong Kong were subject to Hong Kong profits tax at a rate of 16.5% for taxable income earned in Hong Kong before April 1, 2018. Starting from the financial year commencing on April 1, 2018, the two-tiered profits tax regime took effect, under which the tax rate is 8.25% for assessable profits on the first HK$2 million and 16.5% for any assessable profits in excess of HK$2 million. Hong Kong does not impose a withholding tax on dividends.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subsidiaries incorporated in Singapore are subject to an income tax rate of 17% for taxable income earned in Singapore. In particular, Tiger Brokers (Singapore) Pte Ltd has been awarded the Financial Sector Incentive Standard-Tier (FSI-ST) scheme with effect from 1 January 2025 to 31 December 2029. Income and expenses derived from qualifying financial activities is subject to tax at 13.5% concessionary tax rate. Singapore does not impose a withholding tax on dividends for resident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subsidiaries located in Australia are subject to an income tax rate of 30% for taxable income earned in Australia.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the United States are subject to a federal income tax rate of 21% for taxable income earned in the USA. Taxable income apportioned to New York, New York City, and New Jersey is also subject to tax at statutory tax rates of 6.5%, 8.85%, and 11.5%,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PRC subsidiaries and the VIEs, which are considered PRC resident enterprises under PRC tax law, are subject to enterprise income tax on their worldwide taxable income as determined under PRC tax laws and accounting standards. Under the EIT Law, the standard enterprise income tax rate for domestic enterprises and foreign invested enterprises is 25%. In addition, the EIT Law and its implementing rules permit qualified “State-encouraged High-new Technologies Company,” or the HNTE, to enjoy a reduced 15% EIT rate. The HNTE certificate is effective for a period of three years. Certain PRC subsidiaries, VIEs and VIEs’ subsidiaries, including Beijing U-Tiger Business, Beijing Yixin, Beijing U-Tiger Network, Hangzhou U-Tiger, Guangzhou U-Tiger and Beijing Xiangshang are qualified HNTEs and enjoy a reduced income tax rate of 15% for the years ended December 31, 2023, 2024 and 2025. An entity could re-apply for the HNTE certificate when the prior certificate expires. Historically, all companies successfully re-applied for the certificates when the prior certificate expired. Our other subsidiaries are subject to income tax rate of 25%, according to EIT Law.</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most of our PRC subsidiaries, the VIEs and VIEs’ subsidiaries are subject to value-added taxes, or VAT, on the services they provide at the rate of 6%, plus related surcharges, less any deductible VAT they have already paid or borne.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related enterprise income tax law also imposes a withholding income tax on dividends distributed by a foreign investment enterprise (“FIE”) to its immediate holding company outside of the PRC. According to the arrangement between Chinese mainland and HKSAR, dividends paid by an FIE in Chinese mainland to its immediate holding company in HKSAR will be subject to withholding tax at a rate of no more than 5%. Dividends paid by US subsidiaries to their non-US parent company are subject to US withholding tax at a rate of 30%. Cash dividends paid by a New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Zealand incorporated company are subject to a 5% withholding tax under the New Zealand-Singapore Double Tax Agreement. See “Item 3. Key Information – Certain Risks Related to Our Chinese Operations and Operating Structure – We may not be able to obtain certain tax benefits for dividends paid by our PRC subsidiaries to us through our Hong Kong subsidiaries.”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China were deemed to be a “resident enterprise” under the EIT Law, it would be subject to enterprise income tax on its worldwide income at a rate of 25%. See Item 3.D “Risk Factors – Risks Related to Doing Business in China – We may be deemed to be a PRC resident enterprise under the Enterprise Income Tax Law, or the EIT Law, and be subject to the PRC taxation on our worldwide income, which may significantly increase our income tax expenses and materially decrease our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evaluating our business, we consider and use adjusted net income as a supplemental measure to review and assess our operating performance. The presentation of the non-GAAP financial measure is not intended to be considered in isolation or as a substitute for the financial information prepared and presented in accordance with U.S. GAAP. We define adjusted net income as net income excluding share-based compensation, and impairment loss from equity investments. Such adjustments have no impact on income tax.</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this non-GAAP financial measure because it is used by our management to evaluate our operating performance and formulate business plans. Adjusted net income enables our management to assess our operating results without considering the impact of share-based compensation, and impairment loss from equity investments. We also believe that the use of this non-GAAP financial measure facilitate investors’ assessment of our operating performance.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non-GAAP financial measure is not defined under U.S. GAAP and is not presented in accordance with U.S. GAAP. This non-GAAP financial measure has limitations as an analytical tool. One of the key limitations of using adjusted net income is that they do not reflect all items of income and expense that affect our operations. Share-based compensation, and impairment loss from equity investment have been and may continue to be incurred in our business and are not reflected in the presentation of adjusted net income. Further, this non-GAAP financial measure may differ from the non-GAAP financial information used by other companies, including peer companies, and therefore their comparability may be limited. Other companies may calculate similarly titled measure differently, limiting the usefulness of such measure when analyzing our data comparatively.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non-GAAP financial measure should not be considered in isolation or construed as alternatives to total operating expenses, net income or any other measure of performance or as an indicator of our operating performance. Investors are encouraged to review this historical non-GAAP financial measure in light of the most directly comparable GAAP measure, as shown below. This non-GAAP financial measure presented here may not be comparable to similarly titled measure presented by other companies. We encourage investors and others to review our financial information in its entirety and not rely on a single financial measure.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period indicated, both in absolute amounts and as percentages of our total revenues. This information should be read together with our consolidated financial statements and related notes included elsewhere in this annual report. The operating results in any period are not necessarily indicative of the results that may be expected for any future period. The table below also sets forth a reconciliation of adjusted net income, a non-GAAP financial measure, from GAAP net income.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428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9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280" w:type="dxa"/>
            <w:vAlign w:val="bottom"/>
          </w:tcPr>
          <w:p>
            <w:pPr>
              <w:spacing w:after="0"/>
              <w:rPr>
                <w:sz w:val="17"/>
                <w:szCs w:val="17"/>
                <w:color w:val="auto"/>
              </w:rPr>
            </w:pPr>
          </w:p>
        </w:tc>
        <w:tc>
          <w:tcPr>
            <w:tcW w:w="128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US$</w:t>
            </w:r>
          </w:p>
        </w:tc>
        <w:tc>
          <w:tcPr>
            <w:tcW w:w="9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7"/>
                <w:szCs w:val="17"/>
                <w:color w:val="auto"/>
              </w:rPr>
            </w:pPr>
          </w:p>
        </w:tc>
        <w:tc>
          <w:tcPr>
            <w:tcW w:w="1320" w:type="dxa"/>
            <w:vAlign w:val="bottom"/>
            <w:tcBorders>
              <w:top w:val="single" w:sz="8" w:color="auto"/>
            </w:tcBorders>
            <w:gridSpan w:val="2"/>
          </w:tcPr>
          <w:p>
            <w:pPr>
              <w:jc w:val="right"/>
              <w:ind w:right="568"/>
              <w:spacing w:after="0"/>
              <w:rPr>
                <w:sz w:val="20"/>
                <w:szCs w:val="20"/>
                <w:color w:val="auto"/>
              </w:rPr>
            </w:pPr>
            <w:r>
              <w:rPr>
                <w:rFonts w:ascii="Times New Roman" w:cs="Times New Roman" w:eastAsia="Times New Roman" w:hAnsi="Times New Roman"/>
                <w:sz w:val="16"/>
                <w:szCs w:val="16"/>
                <w:b w:val="1"/>
                <w:bCs w:val="1"/>
                <w:color w:val="auto"/>
              </w:rPr>
              <w:t>US$</w:t>
            </w:r>
          </w:p>
        </w:tc>
        <w:tc>
          <w:tcPr>
            <w:tcW w:w="90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122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US$</w:t>
            </w:r>
          </w:p>
        </w:tc>
        <w:tc>
          <w:tcPr>
            <w:tcW w:w="78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r>
      <w:tr>
        <w:trPr>
          <w:trHeight w:val="142"/>
        </w:trPr>
        <w:tc>
          <w:tcPr>
            <w:tcW w:w="42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w w:val="85"/>
              </w:rPr>
              <w:t>(in</w:t>
            </w:r>
          </w:p>
        </w:tc>
        <w:tc>
          <w:tcPr>
            <w:tcW w:w="1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thousands except</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for</w:t>
            </w:r>
          </w:p>
        </w:tc>
        <w:tc>
          <w:tcPr>
            <w:tcW w:w="90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2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Consolidated results of operations</w:t>
            </w: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tcBorders>
              <w:left w:val="single" w:sz="8" w:color="CFF0FC"/>
            </w:tcBorders>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Commissions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92,594</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3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159,045</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266,835</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Financing service fees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12,179</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11,312</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10,723</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Interest income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149,291</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3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191,755</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256,997</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revenues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18,444</w:t>
            </w:r>
          </w:p>
        </w:tc>
        <w:tc>
          <w:tcPr>
            <w:tcW w:w="2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29,430</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77,510</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7"/>
                <w:szCs w:val="17"/>
                <w:color w:val="auto"/>
              </w:rPr>
            </w:pPr>
          </w:p>
        </w:tc>
      </w:tr>
      <w:tr>
        <w:trPr>
          <w:trHeight w:val="196"/>
        </w:trPr>
        <w:tc>
          <w:tcPr>
            <w:tcW w:w="42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272,508</w:t>
            </w:r>
          </w:p>
        </w:tc>
        <w:tc>
          <w:tcPr>
            <w:tcW w:w="24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40" w:type="dxa"/>
            <w:vAlign w:val="bottom"/>
            <w:tcBorders>
              <w:left w:val="single" w:sz="8" w:color="CFF0FC"/>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391,542</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612,065</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(46,958)</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56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color w:val="auto"/>
              </w:rPr>
              <w:t>(60,804)</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(15.5)</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(73,356)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(12.0)</w:t>
            </w:r>
          </w:p>
        </w:tc>
      </w:tr>
      <w:tr>
        <w:trPr>
          <w:trHeight w:val="196"/>
        </w:trPr>
        <w:tc>
          <w:tcPr>
            <w:tcW w:w="42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Total net revenues</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225,550</w:t>
            </w:r>
          </w:p>
        </w:tc>
        <w:tc>
          <w:tcPr>
            <w:tcW w:w="24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82.8</w:t>
            </w:r>
          </w:p>
        </w:tc>
        <w:tc>
          <w:tcPr>
            <w:tcW w:w="240" w:type="dxa"/>
            <w:vAlign w:val="bottom"/>
            <w:tcBorders>
              <w:left w:val="single" w:sz="8" w:color="CFF0FC"/>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330,738</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84.5</w:t>
            </w: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538,709</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2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Operating cost and expenses: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Execution and clearing</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(9,084)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560" w:type="dxa"/>
            <w:vAlign w:val="bottom"/>
            <w:tcBorders>
              <w:left w:val="single" w:sz="8" w:color="CFF0FC"/>
            </w:tcBorders>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6"/>
                <w:szCs w:val="16"/>
                <w:color w:val="auto"/>
              </w:rPr>
              <w:t>(14,652)</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(3.7)</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(20,538)</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w:t>
            </w:r>
          </w:p>
        </w:tc>
      </w:tr>
      <w:tr>
        <w:trPr>
          <w:trHeight w:val="189"/>
        </w:trPr>
        <w:tc>
          <w:tcPr>
            <w:tcW w:w="4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(including share-based compensation)</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(100,751)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56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color w:val="auto"/>
              </w:rPr>
              <w:t>(122,366)</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(31.3)</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(167,170)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(27.3)</w:t>
            </w:r>
          </w:p>
        </w:tc>
      </w:tr>
      <w:tr>
        <w:trPr>
          <w:trHeight w:val="192"/>
        </w:trPr>
        <w:tc>
          <w:tcPr>
            <w:tcW w:w="4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Occupancy, depreciation and</w:t>
            </w: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tcBorders>
              <w:left w:val="single" w:sz="8" w:color="CFF0FC"/>
            </w:tcBorders>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4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amortization</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(9,387)</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560" w:type="dxa"/>
            <w:vAlign w:val="bottom"/>
            <w:tcBorders>
              <w:left w:val="single" w:sz="8" w:color="CFF0FC"/>
            </w:tcBorders>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6"/>
                <w:szCs w:val="16"/>
                <w:color w:val="auto"/>
              </w:rPr>
              <w:t>(8,554)</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(2.2)</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(10,491)</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w:t>
            </w:r>
          </w:p>
        </w:tc>
      </w:tr>
      <w:tr>
        <w:trPr>
          <w:trHeight w:val="202"/>
        </w:trPr>
        <w:tc>
          <w:tcPr>
            <w:tcW w:w="4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Communication and market data</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(30,831)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56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color w:val="auto"/>
              </w:rPr>
              <w:t>(38,893)</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(9.9)</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(46,457)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w:t>
            </w:r>
          </w:p>
        </w:tc>
      </w:tr>
      <w:tr>
        <w:trPr>
          <w:trHeight w:val="203"/>
        </w:trPr>
        <w:tc>
          <w:tcPr>
            <w:tcW w:w="4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Marketing and branding</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(20,860)</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560" w:type="dxa"/>
            <w:vAlign w:val="bottom"/>
            <w:tcBorders>
              <w:left w:val="single" w:sz="8" w:color="CFF0FC"/>
            </w:tcBorders>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6"/>
                <w:szCs w:val="16"/>
                <w:color w:val="auto"/>
              </w:rPr>
              <w:t>(28,530)</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(7.3)</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(49,463)</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r>
      <w:tr>
        <w:trPr>
          <w:trHeight w:val="203"/>
        </w:trPr>
        <w:tc>
          <w:tcPr>
            <w:tcW w:w="4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(21,791)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56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color w:val="auto"/>
              </w:rPr>
              <w:t>(39,279)</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(36,209)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r>
      <w:tr>
        <w:trPr>
          <w:trHeight w:val="20"/>
        </w:trPr>
        <w:tc>
          <w:tcPr>
            <w:tcW w:w="4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Total operating cost and expenses</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(192,704)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(70.7)</w:t>
            </w:r>
          </w:p>
        </w:tc>
        <w:tc>
          <w:tcPr>
            <w:tcW w:w="1560" w:type="dxa"/>
            <w:vAlign w:val="bottom"/>
            <w:tcBorders>
              <w:left w:val="single" w:sz="8" w:color="CFF0FC"/>
            </w:tcBorders>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(252,274)</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(64.4)</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(330,328)</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(54.0)</w:t>
            </w:r>
          </w:p>
        </w:tc>
      </w:tr>
      <w:tr>
        <w:trPr>
          <w:trHeight w:val="20"/>
        </w:trPr>
        <w:tc>
          <w:tcPr>
            <w:tcW w:w="4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2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13,148</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(939)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r>
      <w:tr>
        <w:trPr>
          <w:trHeight w:val="196"/>
        </w:trPr>
        <w:tc>
          <w:tcPr>
            <w:tcW w:w="42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45,994</w:t>
            </w:r>
          </w:p>
        </w:tc>
        <w:tc>
          <w:tcPr>
            <w:tcW w:w="24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16.9</w:t>
            </w:r>
          </w:p>
        </w:tc>
        <w:tc>
          <w:tcPr>
            <w:tcW w:w="240" w:type="dxa"/>
            <w:vAlign w:val="bottom"/>
            <w:tcBorders>
              <w:left w:val="single" w:sz="8" w:color="CFF0FC"/>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81,764</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20.9</w:t>
            </w: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207,442</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 expense</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(12,987)</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56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color w:val="auto"/>
              </w:rPr>
              <w:t>(20,410)</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(35,961)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r>
      <w:tr>
        <w:trPr>
          <w:trHeight w:val="196"/>
        </w:trPr>
        <w:tc>
          <w:tcPr>
            <w:tcW w:w="42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33,007</w:t>
            </w:r>
          </w:p>
        </w:tc>
        <w:tc>
          <w:tcPr>
            <w:tcW w:w="24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12.1</w:t>
            </w:r>
          </w:p>
        </w:tc>
        <w:tc>
          <w:tcPr>
            <w:tcW w:w="240" w:type="dxa"/>
            <w:vAlign w:val="bottom"/>
            <w:tcBorders>
              <w:left w:val="single" w:sz="8" w:color="CFF0FC"/>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61,354</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15.7</w:t>
            </w: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171,481</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2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Add non-GAAP adjustments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10,147</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3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9,737</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15,609</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Adjusted Non-GAAP Net income</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43,154</w:t>
            </w:r>
          </w:p>
        </w:tc>
        <w:tc>
          <w:tcPr>
            <w:tcW w:w="2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w:t>
            </w:r>
          </w:p>
        </w:tc>
        <w:tc>
          <w:tcPr>
            <w:tcW w:w="24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71,091</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w:t>
            </w: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187,091</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30.6</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-2527935</wp:posOffset>
            </wp:positionV>
            <wp:extent cx="77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-2527935</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-2527935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-2527935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-2527935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-2253615</wp:posOffset>
            </wp:positionV>
            <wp:extent cx="774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-2253615</wp:posOffset>
            </wp:positionV>
            <wp:extent cx="7683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-2253615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-2253615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-2253615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-950595</wp:posOffset>
            </wp:positionV>
            <wp:extent cx="774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-950595</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-950595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-950595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-950595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-676275</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-676275</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-676275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-676275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-676275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-401955</wp:posOffset>
            </wp:positionV>
            <wp:extent cx="77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-401955</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-401955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-401955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-401955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discussion of 2023 and 2024 results, refer to the disclosures set forth under the heading “Item 5. Operating and Financial Review and Prospects – A. Operating Results” in our Annual Report on Form 20-F for the year ended December 31, 2024, filed with the SEC on April 23, 2025 and available on the internet site maintained by the SEC at www.sec.gov.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with year ended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revenues increased by 56.3% from US$391.5 million in 2024 to US$612.1 million in 2025. This increase was primarily driven by significant increases in commissions and interest income.</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Commissions. </w:t>
      </w:r>
      <w:r>
        <w:rPr>
          <w:rFonts w:ascii="Times New Roman" w:cs="Times New Roman" w:eastAsia="Times New Roman" w:hAnsi="Times New Roman"/>
          <w:sz w:val="18"/>
          <w:szCs w:val="18"/>
          <w:color w:val="auto"/>
        </w:rPr>
        <w:t>Commissions were US$266.8 million in 2025, a 67.8% increase from US$159.0 million in 2024, driven by an increase in our user base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volume. Our trading volume increased from US$552.3 billion in 2024 to US$1,027.5 billion in 2025.</w:t>
      </w:r>
    </w:p>
    <w:p>
      <w:pPr>
        <w:spacing w:after="0" w:line="15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Financing service fees. </w:t>
      </w:r>
      <w:r>
        <w:rPr>
          <w:rFonts w:ascii="Times New Roman" w:cs="Times New Roman" w:eastAsia="Times New Roman" w:hAnsi="Times New Roman"/>
          <w:sz w:val="18"/>
          <w:szCs w:val="18"/>
          <w:color w:val="auto"/>
        </w:rPr>
        <w:t>Financing service fees were US$10.7 million in 2025, a decrease of 5.2% from US$11.3 million in 2024, primarily due to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rates. Financing service fees from margin financing activities decreased by 7.3% from US$10.6 million in 2024 to US$9.8 million in 2025. Financing service fees from securities lending activities increased by 24.0% from US$0.7 million in 2024 to US$0.9 million in 2025.</w:t>
      </w:r>
    </w:p>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was US$257.0 million in 2025, up 34.0% from US$191.8 million in 2024. This was primarily due to the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financing and securities lending activities of our consolidated account customers, partially offset by decreased interest rates. Interest income from securities lending activities increased by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30.8% from US$75.7 million in 2024 to US$99.0 million in 2025, interest income from margin financing activities increased by 39.0% from US$72.2 million in 2024 to US$100.3 million in 2025, which were mainly attributable to the increase in daily average securities lending and margin financing activities balance, respectively.</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Other revenues were US$77.5 million in 2025, an increase of 163.4% from US$29.4 million in 2024. The increase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in our wealth management service revenue, which is mainly derived from fund management which the Company act as a fund manager mainly in Singapore, and increase in IPO distribution income supported by a rebound in Hong Kong IPO activity during the year.</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US$73.4 million in 2025, an increase of 20.6% from US$60.8 million in 2024 due to the increase in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and securities lending activities, partially offset by decreased interest rates.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 and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cost and expenses increased by 30.9% from US$252.3 million in 2024 to US$330.3 million in 2025, due to the expansion of business scale, various cost and operating expenses had increased. Operating cost and expenses consisted of the following:</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Execution and clearing. </w:t>
      </w:r>
      <w:r>
        <w:rPr>
          <w:rFonts w:ascii="Times New Roman" w:cs="Times New Roman" w:eastAsia="Times New Roman" w:hAnsi="Times New Roman"/>
          <w:sz w:val="18"/>
          <w:szCs w:val="18"/>
          <w:color w:val="auto"/>
        </w:rPr>
        <w:t>Execution and clearing expenses were US$20.5 million in 2025, an increase of 40.2% from US$14.7 million in 2024. This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an increase in our trading volume. Our trading volume increased from US$552.3 billion in 2024 to US$1,027.5 billion in 2025.</w:t>
      </w:r>
    </w:p>
    <w:p>
      <w:pPr>
        <w:spacing w:after="0" w:line="15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Employee compensation and benefits expenses were US$167.2 million in 2025, an increase of 36.6%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US$122.4 million in 2024, primarily due to an increase of global headcount to support our global expansion. We had 1,193 and 1,346 employees as of December 31, 2024 and 2025 respectively.</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Occupancy, depreciation and amortization. </w:t>
      </w:r>
      <w:r>
        <w:rPr>
          <w:rFonts w:ascii="Times New Roman" w:cs="Times New Roman" w:eastAsia="Times New Roman" w:hAnsi="Times New Roman"/>
          <w:sz w:val="18"/>
          <w:szCs w:val="18"/>
          <w:color w:val="auto"/>
        </w:rPr>
        <w:t>Occupancy, depreciation and amortization expenses were US$10.5 million in 2025, an increase of 22.6%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US$8.6 million in 2024. The increase was primarily driven by higher lease-related costs and depreciation of leasehold improvements associated with the expansion of office space, which was undertaken to support our global expansion.</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Communication and market data. </w:t>
      </w:r>
      <w:r>
        <w:rPr>
          <w:rFonts w:ascii="Times New Roman" w:cs="Times New Roman" w:eastAsia="Times New Roman" w:hAnsi="Times New Roman"/>
          <w:sz w:val="18"/>
          <w:szCs w:val="18"/>
          <w:color w:val="auto"/>
        </w:rPr>
        <w:t>Communication and market data expenses were US$46.5 million in 2025, an increase of 19.4% from US$38.9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This increase was due to increased IT-related fees.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Marketing and branding. </w:t>
      </w:r>
      <w:r>
        <w:rPr>
          <w:rFonts w:ascii="Times New Roman" w:cs="Times New Roman" w:eastAsia="Times New Roman" w:hAnsi="Times New Roman"/>
          <w:sz w:val="18"/>
          <w:szCs w:val="18"/>
          <w:color w:val="auto"/>
        </w:rPr>
        <w:t>Marketing and branding expenses were US$49.5 million in 2025, an increase of 73.4% from US$28.5 million in 2024,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higher marketing spending this year.</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were US$36.2 million in 2025, a decrease of 7.8% from US$39.3 million in 2024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decrease in bad debt expense.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a profit before income taxes of US$207.4 million in 2025, compared with US$81.8 million in 2024. The increase was primarily due to the increase of total revenues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income tax expense of US$36.0 million in 2025, compared with income tax expense of US$20.4 million in 2024, primarily due to the 153.7% year-over-year increase in our income before income tax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foregoing, our net income was US$171.5 million in 2025, as compared to a net income of US$61.4 million in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net income, which excluded share-based compensation was US$187.1 million in 2025, as compared to US$71.1 million in 2024. See “Non-GAAP Financial Measure” for more information. See Item 5.A “Operating Results - Non-GAAP Reconciliations.”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Fluctuations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of our revenues are denominated in U.S. dollars and Hong Kong dollars and our expenses are denominated in Renminbi and U.S. dollars. We have not used any derivative financial instruments to hedge exposure to such risk. Although our exposure to foreign exchange risks should be limited in general, our results of operations and financial condition will be affected by the exchange rate between U.S. dollar and Hong Kong dollar as well as between U.S. dollar and Renminbi because a substantial portion of our operating costs and expenses is effectively denominated in Renminbi, while our ADSs will be traded in U.S. dollars. We may seek to reduce the currency risk by entering into foreign currency instruments. We did not have any currency hedging instruments as of December 31, 2023, 2024 and 2025, however management monitors movements in exchange rates closely. Also see Item 3.D “Risk Factors” and Item 11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Tiger Securities, Inc. and TradeUP Securities must comply with the SEC’s net capital requirements, by which its current financial health is measured by assessing its liquidity against the risks where it has exposure. At all times US Tiger Securities, Inc. and TradeUP Securities must maintain the net capital requirements, at a level equal to, or greater than, the prescribed minimum capital. US Tiger Securities, Inc. must maintain a minimum net capital requirement in compliance with the SEC Rule 15c3-1 as well as comply with the SEC Rule 17a-11 and the “early warning levels” for net capital requirements contained therein.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Tiger Brokers SG is a capital markets services license holder under SFA 2001 of Singapore for (I) dealing in capital markets products that are securities, collective investment schemes, and exchange-traded derivatives contracts; (II) product financing; and (III) providing custodial services, and an exempt financial adviser under the FAA 2001 of Singapore for advising on investment products and issuing or promulgating analyses/reports on investment products that are securities, collective investment schemes, and exchange-traded derivatives contracts. Under the SFA, there is a requirement to maintain sufficient capital (“CAR”) as part of its condition to operate the business in Singapore. CAR is calculated using a risk-based capital approach. For Tiger Brokers SG, the minimum base capital requirement is SGD 5 million and, in addition, the firm is required to analyze its operational risk and determine further capital requirement according to the risk the business faces. Its financial resources (which definition includes its base capital) cannot fall below its total risk requirement (i.e., the amount required to address risks arising from its activities), and in the case that its financial resources fall below 120% of its total risk requirement, it is required to immediately notify the MAS of this fact.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we have financed our operating and investing activities through net proceeds from our securities offerings, cash generated from operating activities and historical equity financing activities. As of December 31, 2024 and 2025, our cash and cash equivalents were US$393.6 million and US$791.0 million, respectively. Our cash and cash equivalents primarily consist of cash on hand, demand deposits with financial institutions, term deposits with an original maturity of three months or less and highly liquid investments, which are unrestricted for withdrawal or use, and which have original maturities of three months or less. We believe our current cash and cash equivalents and our anticipated cash flows from operations will be sufficient to meet our anticipated working capital requirements and material cash requirements for over the next 12 months. In the long term, beyond the next 12 months, we may decide to enhance our liquidity position or increase our cash reserve for future investments through additional capital and finance funding.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or at all.</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various off-balance sheet arrangements in the ordinary course of business, primarily to meet the needs of our clients. These arrangements include the margin financing and borrowing agreements. Clients with margin loans have agreed to allow the Company to pledge collateralized securities in their brokerage accounts, which is generally equal to or in excess of the margin loan. Securities borrowing transactions require the Company to deposit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with the lender. The cash collateral received from customers for securities borrowings are generally in excess of the market value of the securities borrowed from other brokers. Increases in security prices may cause the fair value of the securities loaned to exceed the amount of cash received as collateral. In the event the customer to these transactions does not return the loaned securities or provide additional cash collateral, we may be exposed to the risk of acquiring the securities at prevailing market prices in order to satisfy our client obligations. The Company monitors required margin and collateral level on a daily basis in compliance with regulatory and internal guidelines and controls its risk exposure through financial, credit, legal reporting system. Under applicable agreements, customers are required to deposit additional collateral or reduce holding positions, when necessary to avoid forced liquidation of their positions. See Note 17 to our financial statements for more information regarding the collateralized transactions.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have any variable interest in any unconsolidated entity that provides financing, liquidity, market risk or credit support to us or engages in leasing, hedging or product development services with 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make additional capital contributions to our PRC subsidiaries, establish new PRC subsidiaries or controlled affiliates and make capital contributions or other payments to these new PRC subsidiaries or controlled affiliates, make loans to our PRC subsidiaries or controlled affiliates, or acquire offshore entities with business activities in China in offshore transactions. However, most of these uses are subject to PRC regulations and approvals.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presented:</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740" w:type="dxa"/>
            <w:vAlign w:val="bottom"/>
          </w:tcPr>
          <w:p>
            <w:pPr>
              <w:spacing w:after="0"/>
              <w:rPr>
                <w:sz w:val="24"/>
                <w:szCs w:val="24"/>
                <w:color w:val="auto"/>
              </w:rPr>
            </w:pPr>
          </w:p>
        </w:tc>
        <w:tc>
          <w:tcPr>
            <w:tcW w:w="352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74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4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r>
      <w:tr>
        <w:trPr>
          <w:trHeight w:val="209"/>
        </w:trPr>
        <w:tc>
          <w:tcPr>
            <w:tcW w:w="67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US$ (in thousands)</w:t>
            </w:r>
          </w:p>
        </w:tc>
        <w:tc>
          <w:tcPr>
            <w:tcW w:w="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Summary Consolidated Statement of Cash Flows Data:</w:t>
            </w: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(6,566)</w:t>
            </w:r>
          </w:p>
        </w:tc>
        <w:tc>
          <w:tcPr>
            <w:tcW w:w="1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827,978</w:t>
            </w: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1,316,685</w:t>
            </w: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(7,751)</w:t>
            </w:r>
          </w:p>
        </w:tc>
        <w:tc>
          <w:tcPr>
            <w:tcW w:w="16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(8,657)</w:t>
            </w:r>
          </w:p>
        </w:tc>
        <w:tc>
          <w:tcPr>
            <w:tcW w:w="4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(5,749)</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tcPr>
          <w:p>
            <w:pPr>
              <w:spacing w:after="0"/>
              <w:rPr>
                <w:sz w:val="18"/>
                <w:szCs w:val="18"/>
                <w:color w:val="auto"/>
              </w:rPr>
            </w:pPr>
          </w:p>
        </w:tc>
        <w:tc>
          <w:tcPr>
            <w:tcW w:w="1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103,827</w:t>
            </w:r>
          </w:p>
        </w:tc>
        <w:tc>
          <w:tcPr>
            <w:tcW w:w="4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(2,930)</w:t>
            </w: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 and restricted cash</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(12,497)</w:t>
            </w:r>
          </w:p>
        </w:tc>
        <w:tc>
          <w:tcPr>
            <w:tcW w:w="16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923,148</w:t>
            </w:r>
          </w:p>
        </w:tc>
        <w:tc>
          <w:tcPr>
            <w:tcW w:w="4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1,308,006</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(3,478)</w:t>
            </w:r>
          </w:p>
        </w:tc>
        <w:tc>
          <w:tcPr>
            <w:tcW w:w="1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(4,642)</w:t>
            </w: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26,640</w:t>
            </w:r>
          </w:p>
        </w:tc>
      </w:tr>
      <w:tr>
        <w:trPr>
          <w:trHeight w:val="216"/>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year</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1,955,729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1,939,754</w:t>
            </w:r>
          </w:p>
        </w:tc>
        <w:tc>
          <w:tcPr>
            <w:tcW w:w="2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2,858,260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year</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1,939,754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2,858,260</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4,192,906</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-153670</wp:posOffset>
            </wp:positionV>
            <wp:extent cx="774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-153670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 2025 was US$1316.7 million, as compared to net income of US$171.5 million in 2025. The difference was primarily attributable to (i) an increase of US$1,521.3 million in amounts payables to customers resulting from resulting from an increase in our user base, and (ii) a decrease of US$272.8 million in receivables from brokers, dealers and clearing organizations resulting from the increased borrowed margin activities form brokers. This was positively impacted by (i) an increase of US$730.7 million in receivables from customers resulting from an increase in our user base, and (ii) an increase of US$18.3 million in Prepaid expenses and other current assets resulting from an increase in receivables from our wealth management income.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 2024 was US$828.0 million, as compared to net income of US$61.4 million in 2024. The difference was primarily attributable to (i) an increase of US$1,800.0 million in payables to brokers, dealers and clearing organizations resulting from the increased borrowed margin activities form brokers, (ii) an increase of US$661.3 million in payables to customers resulting from an increase in our user base, and (iii) a decrease of US$363.0 million in financial instruments held at fair value in our trading accounts. This was positively impacted by (i) an increase of US$1,763.9 million in receivables from brokers, dealers and clearing organizations resulting from an increase in our user base and (ii) an increase of US$313.9 million in receivables from customers resulting from an increase in our user base.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in 2023 was US$6.6 million, as compared to net income of US$33.0 million in 2023. The difference was primarily attributable to (i) an increase of US$249.2 million in financial instruments held at fair value in our trading accounts, (ii) an increase of US$109.0 million in receivables from customers due to the increase in margin financing activities, and (iii) a decrease of US$83.1 million in payables to customers resulting from the weaker global capital markets. This was positively impacted by (i) a decrease of US$415.1 million in receivables from brokers, dealers and clearing organizations resulting from the weaker global capital markets and (ii) the US$10.1 million recognized share-based compensation expenses resulting from the options granted to the management and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2025 was US$5.7 million, consisting primarily of the purchase of property, equipment and intangible assets of US$5.5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2024 was US$8.7 million, consisting primarily of the purchase of equity method investment, term deposits and property, equipment and intangible assets of US$11.6 million, partially offset by maturity of term deposits of US$2.8 million.</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2023 was US$7.8 million, consisting primarily of (i) the purchase of term deposits and property, equipment and intangible assets of US$7.0 million, (ii) US$0.5 million in payment for long-term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2025 was US$2.9 million, consisting primarily of US$3.0 million used in repurchase of preferred shares from redeemable non-controlling interests.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2024 was US$103.8 million, consisting primarily of net proceeds of US$103.7 million from follow-on public offering.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2023 was US$1.8 million, consisting primarily of proceeds of US$1.7 million received from redeemable non-controlling interests.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capital expenditures were primarily incurred for purchases of servers, equipment and software. Historically, the amount of our capital expenditures has been small. Our capital expenditures were US$2.8 million, US$1.6 million and US$5.5 million in 2023, 2024 and 2025, respectively. We intend to fund our future capital expenditures with our existing cash balance. We will continue to incur capital expenditures as needed to meet the expected growth of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Fintech is a holding company with no material operations of its own. We conduct our operations primarily through our New Zealand subsidiaries,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Singapore subsidiaries, Hong Kong subsidiaries and the VIEs and their respective subsidiaries in China.</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UP Fintech’s ability to pay dividends may depend upon dividends paid by our PRC and New Zealand subsidiaries. If our existing PRC or New Zealand subsidiaries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PRC accounting standards and regulations. Under PRC law, each of our subsidiaries and VIEs in China is required to set aside at least 10% of its after-tax profits each year, if any, to fund certain statutory reserve funds until such reserve funds reach 50% of its registered capital. In addition, any of our wholly foreign-owned subsidiaries in China may allocate a portion of its after-tax profits based on PRC accounting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standards to enterprise expansion funds and staff bonus and welfare funds at its discretion, and the VIEs may allocate a portion of their after-tax profits based on PRC accounting standards to discretionary surplus funds at their discretion. The statutory reserve funds and the discretionary funds are not distributable as cash dividends. Furthermore, the PRC tax authorities may require our subsidiaries to adjust its taxable income under the contractual arrangements it currently has in place with the VIEs in a manner that would materially and adversely affect their ability to pay dividends and other distributions to us. Remittance of dividends by a wholly foreign-owned company out of China is subject to examination by the banks designated by SAFE. Our PRC subsidiaries have not paid dividends and will not be able to pay dividends until they generate accumulated profits and meet the requirements for statutory reserve funds.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Dividend distributions from our U.S. subsidiaries will be subject to U.S. withholding tax. However, our U.S. subsidiaries have not paid dividends in the past and we have no plans for our U.S. subsidiaries to pay dividends in the foreseeable future.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New Zealand law, our New Zealand subsidiaries may authorize a distribution, including a dividend, at a time, and of any amount, and to any shareholder they think fit, provided that the solvency test and any relevant conditions contained in the New Zealand subsidiaries’ constitution are satisfied. Each of our New Zealand subsidiaries satisfies the solvency test if it is able to pay its debts as they become due in the normal course of business and the value of its assets is greater than the value of its liabilities, including contingent liabilities. The subsidiary’s directors who vote in favor of a dividend must sign a certificate stating that, in their opinion, it will, immediately after the distribution, satisfy the solvency test and the grounds for that opinion. The board must not authorize a dividend in respect of some but not all the shares in a class, or that is of a greater value per share in respect of some shares of a class than it is in respect of other shares of that class, unless the amount of the dividend in respect of a share of that class is in proportion to the amount paid to the company in satisfaction of the liability of the shareholder under the subsidiary’s constitution or under the terms of issue of the share or is required, for a portfolio tax rate entity, as a result of sub-part HM of the Income Tax Act 2007.</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primarily consist of salaries and employee benefits, rental, and depreciation expenses related to the development of our proprietary trading platform, back-end technology and customer relationship management system. For the years ended December 31, 2023, 2024 and 2025, US$63.5 million, US$80.1 million and US$100.0 million of research and development costs have been expensed as incurred as the costs qualifying for capitalization have been insignificant.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refer to our disclosures set forth under Item 3.D “Risk Factors,” Item 4 “Information on the Company,” and elsewhere in this Item 5 “Operating and Financial Review and Prospects” for information regarding the material risks, business developments and strategies, factors, and trends that are most likely to affect our business and results of operations through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which requires management to make estimates and assumptions that affect the reported amounts of assets and liabilities, revenues and expenses, and related disclosures of contingent liabilities in the consolidated financial statements and accompanying notes. We base our estimates on historical experience and on various other assumptions we believe to be reasonable under the circumstances, the results of which form the basis for making judgments about the carrying values of assets and liabilities. Changes in the economic environment, financial markets, and any other parameters used in determining such estimates could cause actual results to differ. Our critical accounting estimates are described below. The critical accounting estimates should be read in conjunction with our risk factors as disclosed in “Item 3. Key Information—D. Risk Factors.” See Note 2 to our consolidated financial statements for the year ended December 31, 2025 for more information on our significant accounting policies.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of income tax and valuation allowance for deferred tax asset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determining income tax expense based on tax laws in the various jurisdictions in which we operate. In calculating our effective income tax rate, estimates are required regarding the timing and amount of taxable and deductible items which will adjust the pre-tax income earned in various tax jurisdictions. Through our interpretation of local tax regulations, adjustments to pretax income for income earned in various tax jurisdictions are reflected within various tax filings. Although we believe that our estimates and judgments discussed herein are reasonable, actual results may be materially different than the estimated amounts.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a valuation allowance to reduce our deferred tax assets to the amount that is more likely than not a portion of or all of the deferred tax assets will not be realized. The realizability of deferred tax assets requires significant judgment associated with evaluation of past and projected financial performance which incorporates projections of future taxable income. If it is determined that we are able to realize deferred tax assets in excess of the net carrying value or to the extent we are unable to realize a deferred tax asset, we would adjust the valuation allowance in the period in which such a determination is made, with a corresponding increase or decrease to earnings.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Directors and Senior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20" w:type="dxa"/>
            <w:vAlign w:val="bottom"/>
          </w:tcPr>
          <w:p>
            <w:pPr>
              <w:spacing w:after="0"/>
              <w:rPr>
                <w:sz w:val="20"/>
                <w:szCs w:val="20"/>
                <w:color w:val="auto"/>
              </w:rPr>
            </w:pPr>
          </w:p>
        </w:tc>
        <w:tc>
          <w:tcPr>
            <w:tcW w:w="16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Age</w:t>
            </w:r>
          </w:p>
        </w:tc>
        <w:tc>
          <w:tcPr>
            <w:tcW w:w="260" w:type="dxa"/>
            <w:vAlign w:val="bottom"/>
          </w:tcPr>
          <w:p>
            <w:pPr>
              <w:spacing w:after="0"/>
              <w:rPr>
                <w:sz w:val="20"/>
                <w:szCs w:val="20"/>
                <w:color w:val="auto"/>
              </w:rPr>
            </w:pPr>
          </w:p>
        </w:tc>
        <w:tc>
          <w:tcPr>
            <w:tcW w:w="43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Position/Title</w:t>
            </w: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Tianhua Wu</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John Fei Zeng</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Director</w:t>
            </w: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Jian Liu</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Chia Hung Yang</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Tianhua Wu </w:t>
      </w:r>
      <w:r>
        <w:rPr>
          <w:rFonts w:ascii="Times New Roman" w:cs="Times New Roman" w:eastAsia="Times New Roman" w:hAnsi="Times New Roman"/>
          <w:sz w:val="18"/>
          <w:szCs w:val="18"/>
          <w:color w:val="auto"/>
        </w:rPr>
        <w:t>has served as our Chief Executive Officer, or CEO, and director since January 2018. Mr. Wu is the founder and CEO of Beijing Rongke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June 2014. Between 2005 and 2014, Mr. Wu served at Youdao of NetEase Inc., where he was responsible for core search. Mr. Wu has received many honors in the business world. He currently serves as a director for Up Fintech International Limited. Mr. Wu obtained both bachelor’s and master’s degrees in computer science and technology from Tsinghua University.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John Fei Zeng </w:t>
      </w:r>
      <w:r>
        <w:rPr>
          <w:rFonts w:ascii="Times New Roman" w:cs="Times New Roman" w:eastAsia="Times New Roman" w:hAnsi="Times New Roman"/>
          <w:sz w:val="18"/>
          <w:szCs w:val="18"/>
          <w:color w:val="auto"/>
        </w:rPr>
        <w:t>has served as our Chief Financial Officer since October 2018 and served as our director since September 5, 2022. Between 2010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2012, Mr. Zeng worked at the equity sales team of CICC. Between 2012 and 2015, he worked as a Director at UBS Global Capital Market. From 2015 to 2018, he served as an Executive Director in Equity Capital Markets (ECM) at Goldman Sachs, where he was the ECM captain for China fintech and healthcare sectors. Mr. Zeng obtained a B.S. degree in business administration from the University of Southern California and a MBA from New York University.</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Jian Liu </w:t>
      </w:r>
      <w:r>
        <w:rPr>
          <w:rFonts w:ascii="Times New Roman" w:cs="Times New Roman" w:eastAsia="Times New Roman" w:hAnsi="Times New Roman"/>
          <w:sz w:val="18"/>
          <w:szCs w:val="18"/>
          <w:color w:val="auto"/>
        </w:rPr>
        <w:t>has served as our independent director since our initial public offering in March 2019. Since 2017, Mr. Liu has served as the Assistant Dean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Institute of Financial Technology of Tsinghua University and the Deputy Director of Sunshine Internet Finance Innovation Research Center. Prior to that, Mr. Liu served as a general manager, vice president and partner of the investment banking division of Hejun Group Co., Ltd., formerly known as Beijing Hejun Venture Advising Co. Ltd., a managing director of Guangzhou Bianjia Brothers Enterprise Investment Management Co., Ltd., a managing director of Huaxia Keystone Financial Consulting Co., Ltd., and a director of Guangdong Hengxing Group. Mr. Liu received an EMBA degree from the School of Economics and Management of Tsinghua University and a bachelor’s degree in law from Xiamen University.</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Chia Hung Yang (Conor Yang) </w:t>
      </w:r>
      <w:r>
        <w:rPr>
          <w:rFonts w:ascii="Times New Roman" w:cs="Times New Roman" w:eastAsia="Times New Roman" w:hAnsi="Times New Roman"/>
          <w:sz w:val="18"/>
          <w:szCs w:val="18"/>
          <w:color w:val="auto"/>
        </w:rPr>
        <w:t>has served as our independent director since January 2023. Mr. Yang has also served as EHang Holdings Limited’s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EH) board director since December 2019 and as EHang’s chief financial officer since September 2023. From 2007 to 2017, Mr. Yang served in several chief financial officer positions at US-listed companies including Tuniu Corporation (Nasdaq: TOUR), E-Commerce China Dangdang Inc., and AirMedia Group Inc. Mr. Yang was the chief executive officer of Rock Mobile Corporation from 2004 to 2007, and the chief financial officer of the Asia Pacific region for Cellstar Asia Corporation from 1999 to 2004. Prior to that, Mr. Yang was a senior banker at Goldman Sachs (Asia) L.L.C., Lehman Brothers Asia Limited and Morgan Stanley Asia Limited from 1992 to 1999. Mr. Yang currently also serves as an independent director of Ehang Holdings Limited (Nasdaq: EH), I-Mab (Nasdaq: IMAB), iQIYI, Inc. (Nasdaq: IQ), Tongcheng Travel Holdings Limited (HKSE: 0780) and Smart Share Global Limited (Nasdaq: EM). Mr. Yang received his master’s degree in business administration from the University of California, Los Angeles (UCLA).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familial relationships among any of the Company’s directors or senior managers set forth above. There are no agreements or understanding between the directors and members of senior management and any of our major shareholders, customers, suppliers or other persons pursuant to which such directors and members of senior management were selected as directors or members of senior management.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hanging="212"/>
        <w:spacing w:after="0"/>
        <w:tabs>
          <w:tab w:leader="none" w:pos="2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2025, we paid an aggregate of RMB2.2 million (US$0.3 million), HKD3.7 million (US$0.5 million) and US$0.2 million in cash to our executive officers and directors, and US$0.2 million to our non-executive directors. We have not set aside or accrued any amount to provide pension, retirement or other similar benefits to our directors and executive officers. Our PRC, New Zealand, U.S., Singapore and Hong Kong subsidiaries and our PRC VIEs are required by law to make contributions equal to certain percentages of each employee’s salary for his or her pension insurance, medical insurance, unemployment insurance and other statutory benefits and a housing provident fund. New Zealand has a statutory retirement savings scheme, Kiwisaver, in which New Zealand employees may participate.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Share Incentive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2018, our board of directors approved the UP Fintech Holding Limited Share Incentive Plan, or the 2018 Share Incentive Plan, to attract and retain the best available personnel, provide additional incentives to employees, directors and consultants, and promote the success of our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2018 Share Incentive Plan consists of a share incentive plan for our service providers. The original maximum aggregate number of Class A ordinary shares that could be issued pursuant to all awards under the 2018 Share Incentive Plan was 187,697,314 Class A ordinary shares, which was increased to 254,697,314 Class A ordinary shares by the amendment thereto in December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Performance Incentive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2019, we implemented the 2019 Performance Incentive Plan (the “2019 Plan”), which was approved by our board of directors to grant a maximum number of 52,000,000 ordinary shares under the 2019 Plan, to attract and retain the best available personnel, provide additional incentives to employees, directors and consultants, and promote the success of our business. In December 2020, the Company’s board of directors approved amendments to the 2019 Plan adding an additional 10,429,305 ordinary shares for issuance under the 2019 Plan, which were obtained through the Company’s share buyback plan. In May 2021, the Company’s board of directors approved an evergreen option plan which is to increase Class A ordinary shares to the Plan each year starting from 2021 in an amount equal to 1.5% of the total issued and outstanding shares as of December 31 of the immediately preceding year (“Evergreen Option”), and continuing as long as the unissued shares reserved under 2019 Plan account for less than ten percent (10%) of the total then issued and outstanding shares. The 2019 Plan consists of a share incentive plan for our service providers. The maximum aggregate number of Class A ordinary shares that could be issued pursuant to all awards under the 2019 Plan and 2018 Share Incentive Plan was 568,287,985 as of March 2026 (not accounting for future increases under the Evergreen Option) and the Company issued 455,483,757 Class A ordinary shares to the Plans as of March 2026. As of March 31, 2026, 388,632,106 Class A ordinary shares have been granted, excluding awards that were forfeited or cancelled after the relevant grant dates. In addition, as of the date of March 31, 2026, options to purchase 200,730,744 and 23,082,466 Class A ordinary shares have been granted and are outstanding, along with 265,173,192 and 87,949,755 restricted share units have been granted and are unvested.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2019 Plan.</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2019 Plan permits the awards of options, share appreciation rights, restricted shares or any other type of awards approved by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2019 Plan will be administered by our board of directors, or one or more committees, within its delegated authority, appointed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directors as the case may be. The committee(s) or the full board of directors will determine all or a part of the matters related to the 2019 Plan, including but not limited to: the participants to receive awards, the form, type and number of awards to be granted to each participant, and the terms and conditions of each award grant.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Awards granted under the 2019 Plan are evidenced by an award agreement in writing, approved by the plan administrator, setting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of an award that has been duly authorized and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We may grant awards to our directors, officers, employees, consultants and other eligible persons.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plan administrator at its sole discretion determines the vesting schedule, which is specified in the relevant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Exercise of Options. </w:t>
      </w:r>
      <w:r>
        <w:rPr>
          <w:rFonts w:ascii="Times New Roman" w:cs="Times New Roman" w:eastAsia="Times New Roman" w:hAnsi="Times New Roman"/>
          <w:sz w:val="18"/>
          <w:szCs w:val="18"/>
          <w:color w:val="auto"/>
        </w:rPr>
        <w:t>The plan administrator at its sole discretion determines the exercise price for each award, which is stated in the relevant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participant other than in accordance with the exceptions provided in the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or the relevant award agreement or otherwise determined by the plan administrator, such as transfers by will or the laws of descent and distribution.</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Termination and Amendment of the 2019 Plan. </w:t>
      </w:r>
      <w:r>
        <w:rPr>
          <w:rFonts w:ascii="Times New Roman" w:cs="Times New Roman" w:eastAsia="Times New Roman" w:hAnsi="Times New Roman"/>
          <w:sz w:val="18"/>
          <w:szCs w:val="18"/>
          <w:color w:val="auto"/>
        </w:rPr>
        <w:t>Unless terminated earlier, the 2019 Plan has a term of ten years. Our board of directors has the authority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 or terminate the plan. However, no such action may adversely affect in any material way any awards previously granted unless agreed by the recipient.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Ordinary Shares</w:t>
            </w:r>
          </w:p>
        </w:tc>
        <w:tc>
          <w:tcPr>
            <w:tcW w:w="2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 or</w:t>
            </w:r>
          </w:p>
        </w:tc>
        <w:tc>
          <w:tcPr>
            <w:tcW w:w="2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Outstanding</w:t>
            </w:r>
          </w:p>
        </w:tc>
        <w:tc>
          <w:tcPr>
            <w:tcW w:w="2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200" w:type="dxa"/>
            <w:vAlign w:val="bottom"/>
          </w:tcPr>
          <w:p>
            <w:pPr>
              <w:spacing w:after="0"/>
              <w:rPr>
                <w:sz w:val="12"/>
                <w:szCs w:val="12"/>
                <w:color w:val="auto"/>
              </w:rPr>
            </w:pPr>
          </w:p>
        </w:tc>
        <w:tc>
          <w:tcPr>
            <w:tcW w:w="2660" w:type="dxa"/>
            <w:vAlign w:val="bottom"/>
            <w:vMerge w:val="restart"/>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80" w:type="dxa"/>
            <w:vAlign w:val="bottom"/>
          </w:tcPr>
          <w:p>
            <w:pPr>
              <w:spacing w:after="0"/>
              <w:rPr>
                <w:sz w:val="12"/>
                <w:szCs w:val="12"/>
                <w:color w:val="auto"/>
              </w:rPr>
            </w:pPr>
          </w:p>
        </w:tc>
        <w:tc>
          <w:tcPr>
            <w:tcW w:w="2660" w:type="dxa"/>
            <w:vAlign w:val="bottom"/>
            <w:vMerge w:val="restart"/>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Date of Expiration</w:t>
            </w:r>
          </w:p>
        </w:tc>
        <w:tc>
          <w:tcPr>
            <w:tcW w:w="0" w:type="dxa"/>
            <w:vAlign w:val="bottom"/>
          </w:tcPr>
          <w:p>
            <w:pPr>
              <w:spacing w:after="0"/>
              <w:rPr>
                <w:sz w:val="1"/>
                <w:szCs w:val="1"/>
                <w:color w:val="auto"/>
              </w:rPr>
            </w:pPr>
          </w:p>
        </w:tc>
      </w:tr>
      <w:tr>
        <w:trPr>
          <w:trHeight w:val="173"/>
        </w:trPr>
        <w:tc>
          <w:tcPr>
            <w:tcW w:w="18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0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200" w:type="dxa"/>
            <w:vAlign w:val="bottom"/>
          </w:tcPr>
          <w:p>
            <w:pPr>
              <w:spacing w:after="0"/>
              <w:rPr>
                <w:sz w:val="15"/>
                <w:szCs w:val="15"/>
                <w:color w:val="auto"/>
              </w:rPr>
            </w:pPr>
          </w:p>
        </w:tc>
        <w:tc>
          <w:tcPr>
            <w:tcW w:w="26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Chia Hung Yang</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January 23, 2023</w:t>
            </w:r>
          </w:p>
        </w:tc>
        <w:tc>
          <w:tcPr>
            <w:tcW w:w="180" w:type="dxa"/>
            <w:vAlign w:val="bottom"/>
            <w:shd w:val="clear" w:color="auto" w:fill="CFF0FC"/>
          </w:tcPr>
          <w:p>
            <w:pPr>
              <w:spacing w:after="0"/>
              <w:rPr>
                <w:sz w:val="17"/>
                <w:szCs w:val="17"/>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January 22, 2033</w:t>
            </w:r>
          </w:p>
        </w:tc>
        <w:tc>
          <w:tcPr>
            <w:tcW w:w="0" w:type="dxa"/>
            <w:vAlign w:val="bottom"/>
          </w:tcPr>
          <w:p>
            <w:pPr>
              <w:spacing w:after="0"/>
              <w:rPr>
                <w:sz w:val="1"/>
                <w:szCs w:val="1"/>
                <w:color w:val="auto"/>
              </w:rPr>
            </w:pPr>
          </w:p>
        </w:tc>
      </w:tr>
      <w:tr>
        <w:trPr>
          <w:trHeight w:val="202"/>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Jian Liu</w:t>
            </w: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15, 2021</w:t>
            </w:r>
          </w:p>
        </w:tc>
        <w:tc>
          <w:tcPr>
            <w:tcW w:w="180" w:type="dxa"/>
            <w:vAlign w:val="bottom"/>
          </w:tcPr>
          <w:p>
            <w:pPr>
              <w:spacing w:after="0"/>
              <w:rPr>
                <w:sz w:val="17"/>
                <w:szCs w:val="17"/>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14, 2031</w:t>
            </w: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19, 2022</w:t>
            </w:r>
          </w:p>
        </w:tc>
        <w:tc>
          <w:tcPr>
            <w:tcW w:w="18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18, 2032</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19, 2026</w:t>
            </w:r>
          </w:p>
        </w:tc>
        <w:tc>
          <w:tcPr>
            <w:tcW w:w="1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18, 2036</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of our total outstanding Class A ordinary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The current term of these employment agreements will be until the next shareholders meeting, unless terminated earlier pursuant to the provisions thereof, and these agreements will be automatically extended for successive periods of 12 months each subject to the provisions thereof. We may terminate employment for cause, for certain acts of the executive officer, such as conviction or plea of guilty to a felony or any crime involving moral turpitude, or a continued failure to perform agreed duties. We may also terminate an executive officer’s employment without cause upon 60-day prior written notice. In such case of termination by us, we will provide severance payments and other compensation to the executive officer as expressly required by applicable laws and these employment agreements. The executive officer may resign at any time with a 60-day prior written notice.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consist of six directors. A director is not required to hold any shares in our company to qualify to serve as a director. A director may vote with respect to any contract, proposed contract, or arrangement in which he or she is materially interested. A director may not exercise all the powers of our company to borrow money, mortgage its business, property and uncalled capital and issue debentures or other securities whenever money is borrowed or as security for any obligation of our company or of any third party.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20" w:type="dxa"/>
            <w:vAlign w:val="bottom"/>
            <w:tcBorders>
              <w:bottom w:val="single" w:sz="8" w:color="0000EE"/>
            </w:tcBorders>
          </w:tcPr>
          <w:p>
            <w:pPr>
              <w:spacing w:after="0"/>
              <w:rPr>
                <w:sz w:val="17"/>
                <w:szCs w:val="17"/>
                <w:color w:val="auto"/>
              </w:rPr>
            </w:pPr>
          </w:p>
        </w:tc>
        <w:tc>
          <w:tcPr>
            <w:tcW w:w="3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Board Diversity Matrix</w:t>
            </w:r>
          </w:p>
        </w:tc>
        <w:tc>
          <w:tcPr>
            <w:tcW w:w="1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20" w:type="dxa"/>
            <w:vAlign w:val="bottom"/>
            <w:gridSpan w:val="3"/>
          </w:tcPr>
          <w:p>
            <w:pPr>
              <w:ind w:left="2500"/>
              <w:spacing w:after="0"/>
              <w:rPr>
                <w:sz w:val="20"/>
                <w:szCs w:val="20"/>
                <w:color w:val="auto"/>
              </w:rPr>
            </w:pPr>
            <w:r>
              <w:rPr>
                <w:rFonts w:ascii="Times New Roman" w:cs="Times New Roman" w:eastAsia="Times New Roman" w:hAnsi="Times New Roman"/>
                <w:sz w:val="18"/>
                <w:szCs w:val="18"/>
                <w:b w:val="1"/>
                <w:bCs w:val="1"/>
                <w:color w:val="auto"/>
              </w:rPr>
              <w:t>Board Diversity Matrix (As of March 31, 2026)</w:t>
            </w:r>
          </w:p>
        </w:tc>
        <w:tc>
          <w:tcPr>
            <w:tcW w:w="1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Country of Principal Executive Offices</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Foreign Private Issuer</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Yes</w:t>
            </w:r>
          </w:p>
        </w:tc>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Disclosure Prohibited under Home Country Law</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4</w:t>
            </w:r>
          </w:p>
        </w:tc>
        <w:tc>
          <w:tcPr>
            <w:tcW w:w="1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w w:val="97"/>
              </w:rPr>
              <w:t>Did Not Disclose</w:t>
            </w:r>
          </w:p>
        </w:tc>
        <w:tc>
          <w:tcPr>
            <w:tcW w:w="0" w:type="dxa"/>
            <w:vAlign w:val="bottom"/>
          </w:tcPr>
          <w:p>
            <w:pPr>
              <w:spacing w:after="0"/>
              <w:rPr>
                <w:sz w:val="1"/>
                <w:szCs w:val="1"/>
                <w:color w:val="auto"/>
              </w:rPr>
            </w:pPr>
          </w:p>
        </w:tc>
      </w:tr>
      <w:tr>
        <w:trPr>
          <w:trHeight w:val="194"/>
        </w:trPr>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9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5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6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Gender</w:t>
            </w:r>
          </w:p>
        </w:tc>
        <w:tc>
          <w:tcPr>
            <w:tcW w:w="0" w:type="dxa"/>
            <w:vAlign w:val="bottom"/>
          </w:tcPr>
          <w:p>
            <w:pPr>
              <w:spacing w:after="0"/>
              <w:rPr>
                <w:sz w:val="1"/>
                <w:szCs w:val="1"/>
                <w:color w:val="auto"/>
              </w:rPr>
            </w:pPr>
          </w:p>
        </w:tc>
      </w:tr>
      <w:tr>
        <w:trPr>
          <w:trHeight w:val="108"/>
        </w:trPr>
        <w:tc>
          <w:tcPr>
            <w:tcW w:w="4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3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380" w:type="dxa"/>
            <w:vAlign w:val="bottom"/>
            <w:gridSpan w:val="3"/>
            <w:vMerge w:val="continue"/>
          </w:tcPr>
          <w:p>
            <w:pPr>
              <w:spacing w:after="0"/>
              <w:rPr>
                <w:sz w:val="17"/>
                <w:szCs w:val="17"/>
                <w:color w:val="auto"/>
              </w:rPr>
            </w:pPr>
          </w:p>
        </w:tc>
        <w:tc>
          <w:tcPr>
            <w:tcW w:w="1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w:t>
            </w:r>
          </w:p>
        </w:tc>
        <w:tc>
          <w:tcPr>
            <w:tcW w:w="1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0"/>
        </w:trPr>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3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LGBTQ+</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committed to evaluating board candidates in light of the current composition of the board and to considering characteristics such as independence, knowledge, skills, experience and diversity. We intend to undertake reasonable efforts to meet the diversity objectives set forth by our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three committees: an audit committee, a compensation committee and a nominating and corporate governance committee. Charters have been adopted for each committee. Each committee’s members and functions are described below.</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Our audit committee consists of Mr. Chia Hung Yang and Mr. Jian Liu. Mr. Chia Hung Yang is the chairman of our audit committee.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determined that Mr. Chia Hung Yang and Mr. Jian Liu satisfy the “independence” requirements of Rule 5605(c)(2) of the Listing Rules of The Nasdaq Stock Market LLC and Rule 10A-3 under the Exchange Act. We have determined that Mr. Chia Hung Yang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85" w:lineRule="exact"/>
        <w:rPr>
          <w:sz w:val="20"/>
          <w:szCs w:val="20"/>
          <w:color w:val="auto"/>
        </w:rPr>
      </w:pPr>
    </w:p>
    <w:p>
      <w:pPr>
        <w:ind w:left="1140" w:hanging="383"/>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6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Mr. Tianhua Wu and Mr. John Fei Zeng. Mr. Tianhua Wu is the chairman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The compensation committee assists the board in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reviewing and approving the compensation structure, including all forms of compensation, relating to our directors and executive officers. Our CEO may not be present at any committee meeting during which his compensation is deliberated. The compensation committee is responsible for, among other things:</w:t>
      </w:r>
    </w:p>
    <w:p>
      <w:pPr>
        <w:spacing w:after="0" w:line="176" w:lineRule="exact"/>
        <w:rPr>
          <w:sz w:val="20"/>
          <w:szCs w:val="20"/>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CEO and other executive officers;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22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 Mr. Tianhua Wu and Mr. John Fei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Zeng. Mr. Tianhua Wu is the chairman of our nominating and corporate governance committee.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82" w:lineRule="exact"/>
        <w:rPr>
          <w:sz w:val="20"/>
          <w:szCs w:val="20"/>
          <w:color w:val="auto"/>
        </w:rPr>
      </w:pPr>
    </w:p>
    <w:p>
      <w:pPr>
        <w:ind w:left="1140" w:hanging="383"/>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w:t>
      </w:r>
    </w:p>
    <w:p>
      <w:pPr>
        <w:spacing w:after="0" w:line="161"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161"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have a duty to exercise the care, diligence and skills that a reasonably prudent person would exercise in comparable circumstances.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of directors. Our directors are not subject to a term of office and will hold office until such time as they are removed from office by ordinary resolution of the shareholders or by the board. A director will be removed from office automatically if, among other things, the director (i) becomes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bankrupt or makes any arrangement or composition with his creditors; or (ii) is found by our company to be or becomes of unsound mind. See Item 6.A “Directors and Senior Management” for additional information about our current directors and Item 7.B “Related Party Transactions” for additional information about employment agreements for our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is responsible for the oversight of our risk management activities. While our board of directors oversees our risk management, our senior management is responsible for day-to-day risk management processes. For example, we have a security department that oversees our cybersecurity risks, and we have a risk control department for oversight risks. Management reports to the board on its risk oversight initiatives and observations. We believe this division of responsibilities is the most effective approach for addressing the risks we face. Our board of directors and committees of the board of directors meet regularly with senior management to discuss risks affecting or likely to affect the Company.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periodically reviewing the board’s leadership structure in light of the specific characteristics of the Company and recommending any changes to the board for approval, and discussing the effect on the board’s leadership structure of the board’s role in risk oversight of the Company. Our audit committee is responsible for reviewing and discussing the Company’s policies with respect to risk assessment and risk management, as well as for oversight of risks impacting the Company’s financial statements. Our compensation committee is responsible for periodically reviewing the Company’s compensation policies and practices in order to assess whether such policies and practices create risks that are reasonably likely to have a material adverse effect on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1,109 and 1,193 employees as of December 31, 2023 and 2024 respectively. As of December 31, 2025, we had 1,346 employees, with 1,031 based in Chinese mainland and Hong Kong, 104 based in the United States, 144 based in Singapore, 40 based in New Zealand, and 27 based in Australia. Below is a breakdown of employees by their departments as of December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Department</w:t>
            </w:r>
          </w:p>
        </w:tc>
        <w:tc>
          <w:tcPr>
            <w:tcW w:w="220" w:type="dxa"/>
            <w:vAlign w:val="bottom"/>
          </w:tcPr>
          <w:p>
            <w:pPr>
              <w:spacing w:after="0"/>
              <w:rPr>
                <w:sz w:val="20"/>
                <w:szCs w:val="20"/>
                <w:color w:val="auto"/>
              </w:rPr>
            </w:pPr>
          </w:p>
        </w:tc>
        <w:tc>
          <w:tcPr>
            <w:tcW w:w="26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360" w:type="dxa"/>
            <w:vAlign w:val="bottom"/>
          </w:tcPr>
          <w:p>
            <w:pPr>
              <w:spacing w:after="0"/>
              <w:rPr>
                <w:sz w:val="20"/>
                <w:szCs w:val="20"/>
                <w:color w:val="auto"/>
              </w:rPr>
            </w:pPr>
          </w:p>
        </w:tc>
        <w:tc>
          <w:tcPr>
            <w:tcW w:w="19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and technology</w:t>
            </w:r>
          </w:p>
        </w:tc>
        <w:tc>
          <w:tcPr>
            <w:tcW w:w="2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Compliance, legal and finance</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and customer support</w:t>
            </w:r>
          </w:p>
        </w:tc>
        <w:tc>
          <w:tcPr>
            <w:tcW w:w="2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w:t>
            </w:r>
          </w:p>
        </w:tc>
        <w:tc>
          <w:tcPr>
            <w:tcW w:w="2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220" w:type="dxa"/>
            <w:vAlign w:val="bottom"/>
          </w:tcPr>
          <w:p>
            <w:pPr>
              <w:spacing w:after="0"/>
              <w:rPr>
                <w:sz w:val="18"/>
                <w:szCs w:val="18"/>
                <w:color w:val="auto"/>
              </w:rPr>
            </w:pP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6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49"/>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FF0FC"/>
            </w:tcBorders>
            <w:shd w:val="clear" w:color="auto" w:fill="CFF0FC"/>
          </w:tcPr>
          <w:p>
            <w:pPr>
              <w:spacing w:after="0"/>
              <w:rPr>
                <w:sz w:val="21"/>
                <w:szCs w:val="21"/>
                <w:color w:val="auto"/>
              </w:rPr>
            </w:pPr>
          </w:p>
        </w:tc>
        <w:tc>
          <w:tcPr>
            <w:tcW w:w="2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360" w:type="dxa"/>
            <w:vAlign w:val="bottom"/>
            <w:tcBorders>
              <w:bottom w:val="single" w:sz="8" w:color="CFF0FC"/>
            </w:tcBorders>
            <w:shd w:val="clear" w:color="auto" w:fill="CFF0FC"/>
          </w:tcPr>
          <w:p>
            <w:pPr>
              <w:spacing w:after="0"/>
              <w:rPr>
                <w:sz w:val="21"/>
                <w:szCs w:val="21"/>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-25400</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individual employment contracts with selected employees to cover matters including non-competition and confidentiality arrangements. We generally formulate our employees’ remuneration package to include salary and benefits. We provide our employees with social security benefits in accordance with all applicable regulations and internal policies. None of our employees work under any collective bargaining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b w:val="1"/>
          <w:bCs w:val="1"/>
          <w:i w:val="1"/>
          <w:iCs w:val="1"/>
          <w:color w:val="auto"/>
        </w:rPr>
        <w:t>Share Ownership</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within the meaning of rules and regulations of the SEC, of our ordinary shares, on a fully diluted and as-converted basis, as of March 31, 2026, by:</w:t>
      </w:r>
    </w:p>
    <w:p>
      <w:pPr>
        <w:spacing w:after="0" w:line="162" w:lineRule="exact"/>
        <w:rPr>
          <w:sz w:val="20"/>
          <w:szCs w:val="20"/>
          <w:color w:val="auto"/>
        </w:rPr>
      </w:pPr>
    </w:p>
    <w:p>
      <w:pPr>
        <w:ind w:left="1140" w:hanging="383"/>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 of our ordinary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Beneficial ownership includes the power to direct the voting or the disposition of the securities or to receive the economic benefit of ownership of the securities. Except as indicated below, and subject to applicable community property laws, the persons named in the table have the sole power to direct the voting or the disposition of the ordinary shares or to receive the economic benefit of ownership of the ordinary shares shown as beneficially owned by them.</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Percentage</w:t>
            </w:r>
          </w:p>
        </w:tc>
        <w:tc>
          <w:tcPr>
            <w:tcW w:w="0" w:type="dxa"/>
            <w:vAlign w:val="bottom"/>
          </w:tcPr>
          <w:p>
            <w:pPr>
              <w:spacing w:after="0"/>
              <w:rPr>
                <w:sz w:val="1"/>
                <w:szCs w:val="1"/>
                <w:color w:val="auto"/>
              </w:rPr>
            </w:pPr>
          </w:p>
        </w:tc>
      </w:tr>
      <w:tr>
        <w:trPr>
          <w:trHeight w:val="148"/>
        </w:trPr>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ADS Number</w:t>
            </w: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2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Class A Number</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B Number</w:t>
            </w: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Voting Power</w:t>
            </w:r>
          </w:p>
        </w:tc>
        <w:tc>
          <w:tcPr>
            <w:tcW w:w="0" w:type="dxa"/>
            <w:vAlign w:val="bottom"/>
          </w:tcPr>
          <w:p>
            <w:pPr>
              <w:spacing w:after="0"/>
              <w:rPr>
                <w:sz w:val="1"/>
                <w:szCs w:val="1"/>
                <w:color w:val="auto"/>
              </w:rPr>
            </w:pPr>
          </w:p>
        </w:tc>
      </w:tr>
      <w:tr>
        <w:trPr>
          <w:trHeight w:val="209"/>
        </w:trPr>
        <w:tc>
          <w:tcPr>
            <w:tcW w:w="2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Major Shareholders</w:t>
            </w:r>
          </w:p>
        </w:tc>
        <w:tc>
          <w:tcPr>
            <w:tcW w:w="1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Avenir View Limited</w:t>
            </w:r>
            <w:r>
              <w:rPr>
                <w:rFonts w:ascii="Times New Roman" w:cs="Times New Roman" w:eastAsia="Times New Roman" w:hAnsi="Times New Roman"/>
                <w:sz w:val="21"/>
                <w:szCs w:val="21"/>
                <w:color w:val="auto"/>
                <w:vertAlign w:val="superscript"/>
              </w:rPr>
              <w:t>2</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10,667,580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160,013,700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w:t>
            </w:r>
          </w:p>
        </w:tc>
        <w:tc>
          <w:tcPr>
            <w:tcW w:w="1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Officers</w:t>
            </w: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Tianhua Wu</w:t>
            </w:r>
            <w:r>
              <w:rPr>
                <w:rFonts w:ascii="Times New Roman" w:cs="Times New Roman" w:eastAsia="Times New Roman" w:hAnsi="Times New Roman"/>
                <w:sz w:val="21"/>
                <w:szCs w:val="21"/>
                <w:color w:val="auto"/>
                <w:vertAlign w:val="superscript"/>
              </w:rPr>
              <w:t>3 4 5</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16,273,249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244,098,735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97,611,722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John Fei Zeng</w:t>
            </w:r>
            <w:r>
              <w:rPr>
                <w:rFonts w:ascii="Times New Roman" w:cs="Times New Roman" w:eastAsia="Times New Roman" w:hAnsi="Times New Roman"/>
                <w:sz w:val="21"/>
                <w:szCs w:val="21"/>
                <w:color w:val="auto"/>
                <w:vertAlign w:val="superscript"/>
              </w:rPr>
              <w:t>6</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533,333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7,999,995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Chia Hung Yang</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299,985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Jian Liu</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45,332</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679,980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All directors and executive</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officers as a group</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16,871,913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253,078,695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97,611,722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A ordinary shares is entitled to one vote per share and each holder of our Class B ordinary shares is entitled to twenty votes per share on all matters submitted to them for a vote. Our Class A ordinary shares and Class B ordinary shares vote together as a single class on all matters submitted to a vote of our shareholders, except as may otherwise be required by law.</w:t>
      </w:r>
    </w:p>
    <w:p>
      <w:pPr>
        <w:spacing w:after="0" w:line="183" w:lineRule="exact"/>
        <w:rPr>
          <w:sz w:val="20"/>
          <w:szCs w:val="20"/>
          <w:color w:val="auto"/>
        </w:rPr>
      </w:pPr>
    </w:p>
    <w:p>
      <w:pPr>
        <w:ind w:left="1140" w:hanging="383"/>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set forth in this column include Class A shares represented by our outstanding ADSs held by each shareholder.</w:t>
      </w:r>
    </w:p>
    <w:p>
      <w:pPr>
        <w:spacing w:after="0" w:line="225" w:lineRule="exact"/>
        <w:rPr>
          <w:rFonts w:ascii="Times New Roman" w:cs="Times New Roman" w:eastAsia="Times New Roman" w:hAnsi="Times New Roman"/>
          <w:sz w:val="18"/>
          <w:szCs w:val="18"/>
          <w:color w:val="auto"/>
        </w:rPr>
      </w:pPr>
    </w:p>
    <w:p>
      <w:pPr>
        <w:jc w:val="both"/>
        <w:ind w:left="1140" w:hanging="383"/>
        <w:spacing w:after="0" w:line="254"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provided with respect to Avenir View Limited is derived from a Schedule 13G filed with the SEC by Avenir Tech Limited, Avenir View Limited, Avenir Investment Holdings Limited and Mr. Lin Li on April 29, 2025. According to such Schedule 13G, Avenir View Limited, a British Virgin Islands company, beneficially owns 160,013,700 Class A Ordinary Shares in the form of ADSs through Avenir Tech Limited, which is wholly owned by Avenir View Limited. Avenir View Limited is in turn wholly owned by Avenir Investment Holdings Limited, and Mr. Lin Li owns 100% of the equity interests in Avenir Investment Holdings Limited. The reported Class A Ordinary Shares in the form of ADSs include 116,128,395 Class A Ordinary Shares in the form of ADSs directly held by Avenir Tech Limited and 43,885,305 Class A Ordinary Shares in the form of ADSs held by LL (BVI) Investment Limited, over which Avenir Tech Limited exercises sole voting power and sole dispositive power.</w:t>
      </w:r>
    </w:p>
    <w:p>
      <w:pPr>
        <w:spacing w:after="0" w:line="191" w:lineRule="exact"/>
        <w:rPr>
          <w:rFonts w:ascii="Times New Roman" w:cs="Times New Roman" w:eastAsia="Times New Roman" w:hAnsi="Times New Roman"/>
          <w:sz w:val="18"/>
          <w:szCs w:val="18"/>
          <w:color w:val="auto"/>
        </w:rPr>
      </w:pPr>
    </w:p>
    <w:p>
      <w:pPr>
        <w:jc w:val="both"/>
        <w:ind w:left="1140" w:hanging="383"/>
        <w:spacing w:after="0" w:line="261"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(i) 198,000,000 Class A Ordinary Shares in the form of ADSs which are beneficially owned by Mr. Tianhua Wu; and (ii) 46,098,735 Class A Ordinary Shares in the form of ADSs issued under the UP Fintech Holding Limited Share Incentive Plan and the UP Fintech Holding Limited 2019 Performance Incentive Plan of the Issuer (the “Plans”) with the voting rights attached thereto irrevocably entrusted to Mr. Tianhua Wu.</w:t>
      </w:r>
    </w:p>
    <w:p>
      <w:pPr>
        <w:spacing w:after="0" w:line="179" w:lineRule="exact"/>
        <w:rPr>
          <w:rFonts w:ascii="Times New Roman" w:cs="Times New Roman" w:eastAsia="Times New Roman" w:hAnsi="Times New Roman"/>
          <w:sz w:val="18"/>
          <w:szCs w:val="18"/>
          <w:color w:val="auto"/>
        </w:rPr>
      </w:pPr>
    </w:p>
    <w:p>
      <w:pPr>
        <w:jc w:val="both"/>
        <w:ind w:left="1140" w:hanging="383"/>
        <w:spacing w:after="0" w:line="255"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97,611,722 Class B Ordinary Shares held by Sky Fintech Holding Limited, which are beneficially owned by Mr. Tianhua Wu through Tiger Family Trust. Sky Fintech Holding Limited is indirectly wholly-owned by Lightspeed Rise Holdings Limited, a BVI company, through its wholly-owned subsidiary, Sky Tiger Investment Holding Limited, a BVI company. Lightspeed Rise Holdings Limited is controlled by Tiger Family Trust, a trust established under the laws of Hong Kong and managed by Kastle Limited as the trustee. Mr. Tianhua Wu is the settlor of the Tiger Family Trust and Mr. Tianhua Wu and his family are the trust’s beneficiaries. Under the terms of this trust, Mr. Tianhua Wu has the power to direct the trustee with respect to the retention or disposal of, and the exercise of any voting and other rights attached to, the shares held by Sky Fintech Holding Limited in our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140" w:hanging="383"/>
        <w:spacing w:after="0" w:line="255"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6, 2023, Mr. Tianhua Wu filed with the SEC a Form 144 (SEC File Number: 001-38833) in accordance with Rule 144 under the Securities Act of 1933, as amended. The filing disclosed Mr. Tianhua Wu's intention to sell up to 10 million ADSs under a plan intended to satisfy the affirmative defense conditions of Rule 10b5–1(c) under the Securities Exchange Act of 1934, as amended. Subsequently, on September 7, 2023, a Form 6-K was furnished to provide additional clarification regarding the aforementioned Form 144 filing pertaining to the proposed sale of securities. The Form 144 pertained to the total number of 10 million ADSs associated with TIGR call options proposed for sale under Mr. Wu's Rule 10b5-1 plan. As of March 31, 2026, 79,671 call option contracts were exercised resulted in the sale of 7,967,100 ADSs and 51,671 put option contracts were exercised resulted in the purchase of 5,167,100 ADSs.</w:t>
      </w:r>
    </w:p>
    <w:p>
      <w:pPr>
        <w:spacing w:after="0" w:line="188"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Representing (i) 4,000,005 Class A Ordinary Shares in the form of ADSs held by Mr. </w:t>
      </w:r>
      <w:r>
        <w:rPr>
          <w:rFonts w:ascii="Times New Roman" w:cs="Times New Roman" w:eastAsia="Times New Roman" w:hAnsi="Times New Roman"/>
          <w:sz w:val="16"/>
          <w:szCs w:val="16"/>
          <w:color w:val="auto"/>
        </w:rPr>
        <w:t>John Fei Zeng</w:t>
      </w:r>
      <w:r>
        <w:rPr>
          <w:rFonts w:ascii="Times New Roman" w:cs="Times New Roman" w:eastAsia="Times New Roman" w:hAnsi="Times New Roman"/>
          <w:sz w:val="18"/>
          <w:szCs w:val="18"/>
          <w:color w:val="auto"/>
        </w:rPr>
        <w:t>; and (ii) 3,999,990 Class A Ordinary Shares in the form of ADSs held by his spouse.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dual-class share structure. Our outstanding ordinary shares consist of Class A ordinary shares and Class B ordinary shares, and Mr. Tianhua Wu and his family beneficially own all of our issued Class B ordinary shares through Sky Fintech Holding Limited, of which he is the director, and Mr. Tianhua Wu, with the voting rights entrusted to him under the 2018 and 2019 Performance Incentive Plan, is able to exercise 48.58% of the aggregate voting power of our total issued and outstanding share capital. Holders of Class A ordinary shares and Class B ordinary shares have the same rights except for voting and conversion rights. Each Class A ordinary share is entitled to one vote, and is not convertible into Class B ordinary share under any circumstance. Each Class B ordinary share is entitled to 20 votes and will be automatically convert into one Class A ordinary share under certain circumstances. Our dual-class ordinary share structure involves certain risks. See “Item 3.D. Risk Factors” of this Annual Report on Form 20-F for more information about risks associated with our dual-class share structure.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arrangements for involving employees in the capital of the Company, see Item 6.B.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Disclosure of a registrant’s action to recover erroneously awarded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Major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6.E Directors, Senior Management and Employees-Share Ownership.”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Their Respective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PRC law currently limits foreign equity ownership of companies that provide Internet services and related businesses. To comply with these foreign ownership restrictions, we operate our business in China through a series of contractual arrangements with Beijing Rongke and Beijing Yiyi, and their respective shareholders. For a description of these contractual arrangements, see Item 4 “Information on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The initial term of these employment agreements will be until the next shareholders meeting, unless terminated earlier pursuant to the provisions thereof, and these agreements will be automatically extended for successive periods of 12 months each subject to the provisions thereof. We may terminate employment for cause, for certain acts of the executive officer, such as conviction or plea of guilty to a felony or any crime involving moral turpitude, or a continued failure to perform agreed duties. We may also terminate an executive officer’s employment without cause upon 60-day prior written notice. In such case of termination by us, we will provide severance payments and other compensation to the executive officer as expressly required by applicable laws and these employment agreements. The executive officer may resign at any time with a 60-day prior written notice.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customers or prospective customers,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customers,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6.B “Compensation - Compensation of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 with Related Parties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Alphalion Technology Holding Limited and its affiliates (“Alphalion Group”)</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of 2019, we and our affiliates entered into a series of agreements with respective parties regarding the investment in Alphalion Technology Holding Limited. Under the agreements, we and our affiliates agreed to convert a total of US$3.1 million short-term interest-free loans to Alphalion Group Limited and Bluesea Fintech LLC into 25% equity interest of their parent company, Alphalion Technology Holding Limited. The conversion was consummated on February 22, 2019. The investment was classified as long-term investment. See Note 6 to our audited consolidated financial statements for the more information of this investment in Alphalion Technology Holding Limited.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6, 2020, Beijing Yixin Xiangshang Technology Co.,LTD entered a technical service agreement with Guangzhou Chenhao Technology Co., Ltd an entity which is 100% owned by Alphalion Technology Holding Limited in relation to the ESOP management business in the ordinary course of business.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March 8, 2021, our subsidiary Tiger Brokers (Singapore) PTE Ltd entered into a Packaged Services Agreement with Alphalion Technology Limited controlled by Alphalion Technology Holding Limited. Under this agreement, Alphalion Technology Limited provided middle office system and license to Tiger Brokers (Singapore) PTE Ltd. As of December 31, 2025, the amount due from Alphalion Group regarding prepaid IT service fee and together with the short-term interest-free loans of previous year, total amount due from Alphalion Group was US$1.0 million. By the year end of 2025, IT service fee paid to Alphalion Group was US$0.1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Directors and Executive Officers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provided brokerage services to our directors and executive officers. These services are provided in the ordinary course of business and are made on substantially similar terms as those prevailing at the same time for comparable transactions with unaffiliated persons. Amounts due from related parties in the consolidated balance sheets as of December 31, 2025, were receivable from such directors and executive officers and amounted to US$18.1 million. Amounts due to directors and executive officers amounted to US$69.9 million at the end of December 31, 2025. Revenue earned by providing brokerage services and margin loans to such directors and executive officers amounted to US$0.6 million for the year ended 2025, Interest expense paid to such directors and executive officers amounted to US$2.1 million for the year ended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Interests of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Consolidated Statements and Other Financial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“Item 18. Financial Statements” for the Company’s Consolidated Financial Statements including the Notes thereto and reports of its independent registered accounting firms. The Company has not yet implemented a formal policy on dividend distributions.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Significant Changes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significant changes except as disclosed in this annual report else have occurred since December 31, 2025, the date of the financial statements included in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A.4. Offer and Listing Details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American Depositary Shares, each representing 15 Class A Ordinary Shares, are listed on the Nasdaq Global Select Market under the symbol “TIGR.”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Markets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American Depositary Shares, each representing 15 Class A Ordinary Shares, are listed on the Nasdaq Global Select Market under the symbol “TIGR.”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Memorandum and Articles of Association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Cayman Islands Company, registration number 331967, and our affairs are governed by our memorandum and articles of association and the Companies Law, Cap. 22 (Law 3 of 1961, as consolidated and revised) of the Cayman Islands, or the Companies Law, and the common law of the Cayman Islands.</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Objects of Our Company. </w:t>
      </w:r>
      <w:r>
        <w:rPr>
          <w:rFonts w:ascii="Times New Roman" w:cs="Times New Roman" w:eastAsia="Times New Roman" w:hAnsi="Times New Roman"/>
          <w:sz w:val="18"/>
          <w:szCs w:val="18"/>
          <w:color w:val="auto"/>
        </w:rPr>
        <w:t>Under our fourth amended and restated memorandum of association, the objects of our company are unrestricted and we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 power and authority to carry out any object not prohibited by the laws of the Cayman Islands.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we are not obliged by the Companies Law to call shareholders’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meetings. Our fourth amended and restated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general meetings may be convened by the chairman of our board of directors or a majority of our board of directors. Advance notice of at least ten (10)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the Companies Law nor our fourth amended and restated articles of association provide shareholders with rights to requisition a general meeting or the right to put any proposal before a general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director is not required to hold any shares in our company to qualify to serve as a director. A director may vote with respect to any contract, proposed contract, or arrangement in which he or she is materially interested. A director may exercise all the powers of our company to borrow money, mortgage its business, property and uncalled capital and issue debentures or other securities whenever money is borrowed or as security for any obligation of our company or of any third party.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other information called for by this Item 10.B is provided in Exhibit 2.1, which is filed as an exhibit to this annual report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Material Contracts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VIE-related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description of agreements related to VIEs, please see “Item 3. Key Information – Contractual Arrangements with the VIEs and Their Respective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the Company’s related party transactions, please see Item 7.B “Related Party Transactions” and “Notes to the Consolidated Financial Statements – 16. Related Party Balances and Transactions.”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description of compensation arrangements with the Company’s directors and executive officers, please see Item 6.B “Compensation – Employment Agreements – Recent Developments.”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description of the Company’s outstanding financing agreements, please see section Item 4. “Information on the Company – A. History and Development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Exchange Controls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exchange control regulations or currency restrictions in the Cayman Islands, or any provision of the Articles, which would prevent the transfer of capital or remittance of dividends, interest, and other payments to holders of the Company’s securities who are not residents of the Cayman Islands on a general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Taxation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summary of the material Cayman Islands and U.S. federal income tax consequences of an investment in our ADSs or Class A ordinary shares is based upon laws and relevant interpretations thereof in effect as of the date of this report, all of which are subject to change. This summary does not deal with all possible tax consequences relating to an investment in our ADSs or Class A ordinary shares, such as the tax consequences under U.S. state and local tax laws or under the tax laws of jurisdictions other than the Cayman Islands and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estate duty or withholding tax applicable to us or to any holder of our ADSs and ordinary shares.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transfers of shares of Cayman Islands companies except those which hold interests in land in the Cayman Islands. The Cayman Islands is a party to a double tax treaty entered with the United Kingdom in 2010 but is otherwise not party to any double tax treaties. There are no exchange control regulations or currency restrictions in the Cayman Islands.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6 of the Tax Concessions Law (2011 revision) of the Cayman Islands, we have obtained an undertaking from the Governor-in-Council:</w:t>
      </w:r>
    </w:p>
    <w:p>
      <w:pPr>
        <w:spacing w:after="0" w:line="225" w:lineRule="exact"/>
        <w:rPr>
          <w:sz w:val="20"/>
          <w:szCs w:val="20"/>
          <w:color w:val="auto"/>
        </w:rPr>
      </w:pPr>
    </w:p>
    <w:p>
      <w:pPr>
        <w:ind w:left="760" w:hanging="378"/>
        <w:spacing w:after="0" w:line="282"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law which is enacted in the Cayman Islands imposing any tax to be levied on profits or income or gains or appreciation shall apply to us or our operations; and</w:t>
      </w:r>
    </w:p>
    <w:p>
      <w:pPr>
        <w:spacing w:after="0" w:line="161" w:lineRule="exact"/>
        <w:rPr>
          <w:rFonts w:ascii="Times New Roman" w:cs="Times New Roman" w:eastAsia="Times New Roman" w:hAnsi="Times New Roman"/>
          <w:sz w:val="18"/>
          <w:szCs w:val="18"/>
          <w:color w:val="auto"/>
        </w:rPr>
      </w:pPr>
    </w:p>
    <w:p>
      <w:pPr>
        <w:ind w:right="100" w:firstLine="382"/>
        <w:spacing w:after="0" w:line="498" w:lineRule="auto"/>
        <w:tabs>
          <w:tab w:leader="none" w:pos="74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aforesaid tax or any tax in the nature of estate duty or inheritance tax shall not be payable on our shares, debentures or other obligations. The undertaking for us is for a period of 30 years from November 19, 2018.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are material U.S. federal income tax consequences to the U.S. Holders described below of the ownership and disposition of our ADSs or Class A ordinary shares, but this discussion does not purport to be a comprehensive description of all of the tax considerations that may be relevant to a particular person’s decision to acquire the ADSs or Class A ordinary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applies to you only if you are a U.S. Holder, you acquire our ADSs in this offering and you hold the ADSs or underlying Class A ordinary shares as capital assets for U.S. federal income tax purposes. In addition, it does not describe all of the tax consequences that may be relevant in light of your particular circumstances, including any minimum tax or Medicare contribution tax considerations, or consequences applicable to you if you are a type of U.S. Holder subject to special rules, such as:</w:t>
      </w:r>
    </w:p>
    <w:p>
      <w:pPr>
        <w:spacing w:after="0" w:line="180" w:lineRule="exact"/>
        <w:rPr>
          <w:sz w:val="20"/>
          <w:szCs w:val="20"/>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electing trader in securities that uses a mark-to-market method of tax accounting;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holds our ADSs or Class A ordinary shares as part of a straddle, integrated or similar transaction;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for U.S. federal income tax purposes is not the U.S. dollar;</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S-corporation or an entity classified as a partnership for U.S. federal income tax purposes or a person holding the ADSs or Class A ordinary shares through such corporation or entity;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expatriate;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 “individual retirement account” or a “Roth IRA;”</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owns or is deemed to own our ADSs or Class A ordinary shares representing 10% or more of our stock by vote or value;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holds our ADSs or Class A ordinary shares in connection with a trade or business outside the United States.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classified as a partnership for U.S. federal income tax purposes) owns our ADSs or Class A ordinary shares, the U.S. federal income tax treatment of a partner will generally depend on the status of the partner and the activities of the partnership. If you are a partnership that intends to own ADSs or Class A ordinary shares or a partner therein you should consult your tax adviser as to your particular U.S. federal income tax consequences of owning and disposing of our ADSs or Class A ordinary shares.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or the Code, administrative pronouncements, judicial decisions, final, temporary and proposed Treasury regulations, and the income tax treaty between the United States and the PRC, or the Treaty, all as of the date hereof, any of which is subject to change, possibly with retroactive effect. No ruling has been obtained or will be requested from the Internal Revenue Service, or the IRS, with respect to any of the U.S. federal income tax consequences described below, and as a result, there can be no assurance that the IRS will not disagree or challenge any of the statements provided below. This discussion assumes that each obligation under the deposit agreement and any related agreement will be performed in accordance with its terms.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a “U.S. Holder” is a person that is, for U.S. federal income tax purposes, a beneficial owner of the ADSs or Class A ordinary shares and:</w:t>
      </w:r>
    </w:p>
    <w:p>
      <w:pPr>
        <w:spacing w:after="0" w:line="225" w:lineRule="exact"/>
        <w:rPr>
          <w:sz w:val="20"/>
          <w:szCs w:val="20"/>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hanging="378"/>
        <w:spacing w:after="0"/>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if you own our ADSs you will be treated as the owner of the underlying Class A ordinary shares represented by those ADSs for U.S. federal income tax purposes. Accordingly, no gain or loss will be recognized if you exchange your ADSs for the underlying Class A ordinary shares represented by those ADSs.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discussion does not address the effects of any state, local or non-U.S. tax laws, or any U.S. federal taxes other than income taxes (such as U.S. federal estate or gift tax consequences). You should consult your tax adviser concerning the U.S. federal, state, local and non-U.S. tax consequences of owning and disposing of our ADSs or Class A ordinary shares in your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a non-U.S. corporation is a passive foreign investment company, or a PFIC, for U.S. federal income tax purposes for any taxable year in which</w:t>
      </w:r>
    </w:p>
    <w:p>
      <w:pPr>
        <w:spacing w:after="0" w:line="27" w:lineRule="exact"/>
        <w:rPr>
          <w:sz w:val="20"/>
          <w:szCs w:val="20"/>
          <w:color w:val="auto"/>
        </w:rPr>
      </w:pPr>
    </w:p>
    <w:p>
      <w:pPr>
        <w:jc w:val="both"/>
        <w:ind w:firstLine="8"/>
        <w:spacing w:after="0" w:line="252" w:lineRule="auto"/>
        <w:tabs>
          <w:tab w:leader="none" w:pos="2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more of the average value of its assets (generally determined on a quarterly basis)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(and income equivalent to interest), investment gains and certain rents and royalties. Cash is generally a passive asset for these purposes. The value of goodwill and other intangibles is generally treated as an active asset to the extent attributable to business activities that produce active income.</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PFIC status for any taxable year will depend on the composition of our income and assets and the value of our assets from time to time and therefore may change from year to year. Our annual PFIC status is subject to significant uncertainties. For example, because we hold, and will continue to hold after this offering, a substantial amount of cash and cash equivalents, our annual PFIC status will depend in part on the value of our goodwill and other intangible assets for the relevant taxable year. The value of our goodwill and other intangible assets may be determined, in part, by reference to our market capitalization, which has been, and may continue to be, volatile. If the value of our goodwill and other intangible assets is so determined, our annual PFIC status will be affected by fluctuations of our market capitalization. In addition, the extent to which our goodwill and other intangible assets should be treated as active is not entirely clear, and we may be a PFIC if a significant portion of our goodwill and other intangible assets is treated as passive. Furthermore, it is not entirely clear whether certain items of our assets and liabilities shown on our balance sheet should be disregarded for purposes of the PFIC rules. For example, it is not entirely clear whether portions of the cash and other assets reflected on our balance sheet should be excluded from the value of our assets to the extent they are held for, or attributable to, our customers and are treated as our customers’ assets for certain local law purposes (“customers’ assets”). We believe it is reasonable to treat such customers’ assets as not forming part of our assets for PFIC purposes, but there can be no assurance that the Internal Revenue Service, or the IRS, will not successfully challenge this position, in which case we will likely be a PFIC. The extent to which certain of such customers’ assets (and corresponding liabilities) should be so disregarded for purposes of the PFIC rules is also not entirely clear. In addition, it is not entirely clear how the contractual arrangements between us and our VIEs will be treated for purposes of the PFIC rules, and we may be or become a PFIC if our VIEs are not treated as owned by us for these purposes. While we believe it is reasonable to determine that we are not a PFIC for 2025, there can be no assurance regarding our PFIC status because the PFIC determination is highly factual. For these reasons, there is a substantial risk we are a PFIC for 2025 and will be a PFIC in future taxable years.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and any entity in which we own or are deemed to own equity interests (including our subsidiaries and VIEs) is also a PFIC (any such entity, a “Lower-tier PFIC”), you will be deemed to own a proportionate amount (by value) of the shares of each Lower-tier PFIC and will be subject to U.S. federal income tax according to the rules described in the next paragraph on (i) certain distributions by a Lower-tier PFIC and (ii) dispositions of shares of Lower-tier PFICs, in each case as if you held such shares directly, even though the you will not receive any proceeds of those distributions or dispositions.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general, if we are a PFIC for any taxable year during which you own our ADSs or Class A ordinary shares, gain recognized by you on a sale or other disposition (including certain pledges) of your ADSs or Class A ordinary shares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will be allocated ratably over your holding period. The amounts allocated to the taxable year of the sale or disposition and to any year before we became a PFIC will be taxed as ordinary income in the year of such sale or disposition. The amount allocated to each other taxable year will be subject to tax at the highest rate in effect for individuals or corporations, as appropriate, for that taxable year, and an interest charge will be imposed on the resulting tax liability for each such year. Furthermore, to the extent that distributions received by you in any taxable year on your ADSs or Class A ordinary shares exceed 125% of the average of the annual distributions on the ADSs or Class A ordinary shares received during the preceding three years or your holding period, whichever is shorter, such distributions will be subject to taxation in the same manner. If we are a PFIC for any taxable year during which you own ADSs or Class A ordinary shares, we will generally continue to be treated as a PFIC with respect to you for all succeeding years during which you own the ADSs or Class A ordinary shares, even if we cease to meet the threshold requirements for PFIC status, unless you make a timely “deemed sale” election, in which case any gain on the deemed sale will be taxed under the PFIC rules described above.</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Alternatively, if we are a PFIC and if the ADSs are “regularly traded” on a “qualified exchange” (as defined in applicable U.S. Treasury regulations), you may be able to make a mark-to-market election with respect to our ADSs that will result in tax treatment different from the general tax treatment for PFICs described in the preceding paragraph. The ADSs will be treated as regularly traded for any calendar year in which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quantity of the ADSs are traded on a qualified exchange on at least 15 days during each calendar quarter. The Nasdaq Global Select Market, where the ADSs are listed, is a qualified exchange for this purpose. If you are a U.S. Holder of ADSs and make the mark-to-market election, generally you will recognize as ordinary income any excess of the fair market value of the ADSs at the end of each taxable year over their adjusted tax basis. Generally, you will recognize an ordinary loss in respect of any excess of the adjusted tax basis of the ADSs over their fair market value at the end of the taxable year, but only to the extent of the net amount of income previously included as a result of the mark-to-market election. If you make the election, your tax basis in the ADSs will be adjusted to reflect the income or loss amounts recognized. Any gain recognized on the sale or other disposition of ADSs in a taxable year in which we are a PFIC will be treated as ordinary income and any loss will be treated as an ordinary loss (but only to the extent of the net amount of income previously included as a result of the mark-to-market election, with any excess treated as capital loss). If you make the mark-to-market election, distributions paid on ADSs will be treated as discussed under “—</w:t>
      </w:r>
      <w:r>
        <w:rPr>
          <w:rFonts w:ascii="Times New Roman" w:cs="Times New Roman" w:eastAsia="Times New Roman" w:hAnsi="Times New Roman"/>
          <w:sz w:val="18"/>
          <w:szCs w:val="18"/>
          <w:i w:val="1"/>
          <w:iCs w:val="1"/>
          <w:color w:val="auto"/>
        </w:rPr>
        <w:t>Taxation of Distributions</w:t>
      </w:r>
      <w:r>
        <w:rPr>
          <w:rFonts w:ascii="Times New Roman" w:cs="Times New Roman" w:eastAsia="Times New Roman" w:hAnsi="Times New Roman"/>
          <w:sz w:val="18"/>
          <w:szCs w:val="18"/>
          <w:color w:val="auto"/>
        </w:rPr>
        <w:t>” below (but subject to the discussion in the following paragraph). Once made, the election will remain in effect for all taxable years in which we are a PFIC, unless it is revoked with the IRS’s consent, or the ADSs cease to be regularly traded on a qualified exchange. There is no provision of law or official guidance that provides for a right to make a mark-to-market election with respect to any Lower-tier PFIC unless the shares of such Lower-tier PFIC are themselves “marketable.” As a result, even if you make a mark-to-market election with respect to our ADSs, you could be subject to the PFIC rules described in the preceding paragraph with respect to your indirect interest in any Lower-tier PFIC. You should consult your tax adviser regarding the availability and advisability of making a mark-to-market election in your particular circumstances if we are a PFIC for any taxable year.</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a PFIC (or are treated as a PFIC with respect to you) for any taxable year in which we pay a dividend or the preceding taxable year, the favorable tax rate with respect to dividends paid to certain non-corporate U.S. Holders (as described below in “—</w:t>
      </w:r>
      <w:r>
        <w:rPr>
          <w:rFonts w:ascii="Times New Roman" w:cs="Times New Roman" w:eastAsia="Times New Roman" w:hAnsi="Times New Roman"/>
          <w:sz w:val="18"/>
          <w:szCs w:val="18"/>
          <w:i w:val="1"/>
          <w:iCs w:val="1"/>
          <w:color w:val="auto"/>
        </w:rPr>
        <w:t>Taxation of Distributions</w:t>
      </w:r>
      <w:r>
        <w:rPr>
          <w:rFonts w:ascii="Times New Roman" w:cs="Times New Roman" w:eastAsia="Times New Roman" w:hAnsi="Times New Roman"/>
          <w:sz w:val="18"/>
          <w:szCs w:val="18"/>
          <w:color w:val="auto"/>
        </w:rPr>
        <w:t>”) will not apply.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to make qualified electing fund elections which, if available, would result in tax treatment different from the general tax treatment for PFICs described above.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a PFIC for any taxable year during which you own ADSs or Class A ordinary shares, you will generally be required to file annual reports with the IRS. You should consult your tax adviser regarding our PFIC status for any taxable year and the potential application of the PFIC rules to your ownership of ADSs or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is subject to the discussion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above.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Distributions (if any) paid on our ADSs or Class A ordinary shares, other than certain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distributions of ADSs or Class A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you as dividends. Dividends will not be eligible for the dividends-received deduction generally available to U.S. corporations under the Code. Subject to applicable holding period and other requirements, and provided that we are not a PFIC (and are not treated as a PFIC with respect to you) for our taxable year in which the dividend is paid or the preceding taxable year, dividends paid to certain non-corporate U.S. Holders of ADSs may be taxable at a favorable rate. Because of the uncertainty regarding our PFIC status, this favorable rate may not be available to you. If you are a non-corporate U.S. Holder of ADSs you should consult your tax adviser regarding the availability of this favorable tax rate on dividends (and any applicable limitations) generally and in your particular circumstances.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Dividends generally will be included in your income on the date of receipt by you (if you hold Class A ordinary shares) or the depositary (if you hold ADSs). The amount of any dividend income paid in foreign currency will be the U.S. dollar amount calculated by reference to the spot rate in effect on the date of receipt, regardless of whether the payment is in fact converted into U.S. dollars on such date. If the dividend is converted into U.S. dollars on the date of receipt, you generally should not be required to recognize foreign currency gain or loss in respect of the amount received. You may have foreign currency gain or loss if the dividend is converted into U.S. dollars after the date of receipt.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Dividends will be treated as foreign-source income for foreign tax credit purposes. As described above, dividends paid by us may be subject to PRC withholding tax. For U.S. federal income tax purposes, the amount of the dividend income will include any amounts withheld in respect of PRC withholding tax. Subject to applicable limitations, which vary depending upon your circumstances, and the discussion below regarding certain Treasury regulations, PRC taxes withheld from dividend payments (at a rate not exceeding any rate applicable under the Treaty if you are eligible for Treaty benefits) generally will be creditable against your U.S. federal income tax liability. The rules governing foreign tax credits are complex and their application may depend on your particular facts and circumstances. Treasury regulations provide that, in the absence of an election to apply the benefits of an applicable income tax treaty, in order for non-U.S. income taxes to be creditable, the relevant non-U.S. income tax rules must be consistent with certain U.S. federal income tax principles, and we have not determined whether the PRC income tax system meets this requirement. The IRS released notices that provide relief from certain of the provisions of the Treasury regulations described above for taxable years ending before the date that a notice or other guidance withdrawing or modifying the temporary relief is issued (or any later date specified in such notice or other guidance). You should consult your tax adviser regarding the creditability of foreign taxes in your particular circumstances. In lieu of claiming a credit, you may be able to elect to deduct any PRC taxes in computing your taxable income, subject to applicable limitations. An election to deduct foreign taxes instead of claiming foreign tax credits applies to all otherwise creditable foreign taxes paid or accrued in the relevant taxable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ADSs or Class A ordinary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is subject to the discussion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above.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will generally recognize capital gain or loss on a sale or other taxable disposition of ADSs or Class A ordinary shares in an amount equal to the difference between the amount realized on the sale or disposition and your tax basis in the ADSs or Class A ordinary shares disposed of, in each case as determined in U.S. dollars. The gain or loss will be long-term capital gain or loss if at the time of the sale or disposition you have owned the ADSs or Class A ordinary shares for more than one year. If you are a non-corporate U.S. Holder, any long-term capital gain recognized by you will generally be subject to tax rates that are lower than those applicable to ordinary income. The deductibility of capital losses is subject to limitations.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described above, gains on the sale of ADSs or Class A ordinary shares may be subject to PRC taxes. You are entitled to use foreign tax credits to offset only the portion of your U.S. federal income tax liability that is attributable to foreign-source income. Under the Code capital gains of U.S. persons are generally treated as U.S.-source income. However, if you are eligible for the benefits of the Treaty, you may be able to elect to treat gains taxable under PRC law as PRC-source and claim foreign tax credits in respect of PRC taxes on those gains. Treasury regulations generally preclude you from claiming a foreign tax credit with respect to PRC income taxes imposed on gains from dispositions of ADSs or Class A ordinary shares unless you are eligible for Treaty benefits and elect to apply them. As discussed above under “— </w:t>
      </w:r>
      <w:r>
        <w:rPr>
          <w:rFonts w:ascii="Times New Roman" w:cs="Times New Roman" w:eastAsia="Times New Roman" w:hAnsi="Times New Roman"/>
          <w:sz w:val="18"/>
          <w:szCs w:val="18"/>
          <w:i w:val="1"/>
          <w:iCs w:val="1"/>
          <w:color w:val="auto"/>
        </w:rPr>
        <w:t>Taxation of Distributions</w:t>
      </w:r>
      <w:r>
        <w:rPr>
          <w:rFonts w:ascii="Times New Roman" w:cs="Times New Roman" w:eastAsia="Times New Roman" w:hAnsi="Times New Roman"/>
          <w:sz w:val="18"/>
          <w:szCs w:val="18"/>
          <w:color w:val="auto"/>
        </w:rPr>
        <w:t>,” the IRS released notices that provide relief from certain of the provisions of the Treasury regulations described above (including the limitation described in the preceding sentence) for taxable years ending before the date that a notice or other guidance withdrawing or modifying the temporary relief is issued (or any later date specified in such notice or other guidance). However, other limitations under the foreign tax credit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rules may preclude you from claiming a foreign tax credit with respect to PRC income taxes on disposition gains. If you are precluded from claiming a foreign tax credit, it is possible that any PRC income taxes on disposition gains may either be deductible or reduce the amount realized on the disposition. You should consult your tax adviser regarding the consequences to you of the imposition of any PRC tax on disposition gains, including the Treaty’s resourcing rule, any reporting requirements with respect to a Treaty-based return position and the creditability or deductibility of any PRC tax on disposition gains in your particular circumstances (including any applicable limitations).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may be subject to information reporting and backup withholding, unless (i) you are a corporation or other “exempt recipient” (and establish that status if required to do so) and (ii) in the case of backup withholding, you provide a correct taxpayer identification number and certify that you are not subject to backup withholding. The amount of any backup withholding from a payment to you will be allowed as a credit against your U.S. federal income tax liability and may entitle you to a refund, provided that the required information is timely furnished to the IRS.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an individual or one of certain specified entities, you may be required to report information relating to your ownership of ADSs or Class A ordinary shares, or non-U.S. accounts through which your ADSs or Class A ordinary shares are held. You should consult your tax adviser regarding your reporting obligations with respect to ADSs and Class A ordinary shares.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PROSPECTIVE INVESTORS IN OUR ADSS OR CLASS A ORDINARY SHARES SHOULD CONSULT WITH THEIR TAX ADVISER REGARDING THE APPLICATION OF THE U.S. FEDERAL INCOME TAX LAWS TO THEIR PARTICULAR SITUATIONS AS WELL AS ANY TAX CONSEQUENCES RESULTING FROM OWNING OR DISPOSING OUR ADSS OR CLASS A ORDINARY SHARES, INCLUDING THE APPLICABILITY AND EFFECT OF THE TAX LAWS OF ANY STATE, LOCAL OR NON-U.S. JURISDICTION, INCOME TAX TREATIES AND INCLUDING ESTATE, GIFT AND INHERITANCE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Dividends and Paying Agents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Statements by Experts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Documents on Display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files reports, including annual reports on Form 20-F, furnishes current reports on Form 6-K and discloses other information with the SEC pursuant to the rules and regulations of the SEC that apply to foreign private issuers. These may be accessed by visiting the SEC’s website at 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Subsidiary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Annual Report to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activities expose it to a variety of market risks including interest rate risk and foreign currency exchange rate risk. The Company’s overall risk management strategy focuses on the unpredictability of financial markets and seeks to minimize potential adverse effects on its performance through ongoing operational and finance activities. The Company monitors and manages its exposure to such risks both centrally and at the local level, as appropriate, as part of its overall risk management program with the objective of seeking to reduce the potential adverse effects of such risks on its results of operations and financial position.</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section provides qualitative and quantitative disclosures on the effects that these risks may have. The quantitative data reported below, if any, does not have any predictive value and does not reflect the complexity of the markets or reactions which may result from any changes that are assumed to have taken place.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most of our revenues are denominated in U.S. dollars and Hong Kong dollars and our expenses are denominated in Renminbi and U.S. dollars, the Company has not used any derivative financial instruments to hedge exposure to such risk as our exposure to foreign exchange risks should be limited in general per management’s assessment. Our results of operations and financial condition will be affected by the exchange rate between U.S. dollar and Hong Kong dollar as well as between U.S. dollar and Renminbi because a substantial portion of our operating costs and expenses is effectively denominated in Renminbi, while our ADSs will be traded in U.S. dollars. We may seek to reduce the currency risk by entering foreign currency instruments in the future. Currently we did not hold any currency hedging instruments position as of December 31, 2024 and 2025 due to immaterial impact on our daily operation and financials, whilst the Company has been monitoring the exchange rates which may affect our business and financials and will take necessary actions to mediate foreign exchange risks. See Item 3.D “Risk Factors.”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conversion of Renminbi into foreign currencies, including U.S. dollars, is based on rates set by the People’s Bank of China. In July 2005, the PRC government changed its decades-old policy of pegging the value of Renminbi to U.S. dollar, and Renminbi appreciated more than 20% against U.S. dollar over the following three years. Between July 2008 and June 2010, this appreciation halted and the exchange rate between Renminbi and U.S. dollar remained within a narrow band. Since June 2010, Renminbi has fluctuated against U.S. dollar, at times significantly and unpredictably. With the development of the foreign exchange market and progress towards interest rate liberalization and Renminbi internationalization, the PRC government may in the future announce further changes to the exchange rate system. It is difficult to predict how market forces or PRC or U.S. government policy may impact the exchange rate between Renminbi and U.S. dollar in the future.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we need to convert U.S. dollar into Renminbi for our operations, appreciation of Renminbi against U.S. dollar would have an adverse effect on the Renminbi amount we receive from the conversion. Conversely, if we decide to convert Renminbi into U.S. dollar for the purpose of making payments for dividends on our ordinary shares or ADSs or for other business purposes, appreciation of U.S. dollar against Renminbi would have a negative effect on U.S. dollar amounts available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not been exposed to material risks due to changes in market interest rates, and we have not used any derivative financial instruments to manage our interest risk exposure.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rising or falling interest rates may have a material impact on our financial condition unless uncertainty about the direction and timing of interest rate changes materially affects the level of borrowing and lending activity in the economy.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may invest in interest-earning instruments.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Margin financing is subject to various regulatory requirements. Margin loans are collateralized by cash and securities in the customers’ accounts. The risks associated with margin credit increase during periods of fast market movements or in cases where collateral is concentrated and market movements occur. During such times, customers who utilize margin loans and who have collateralized their obligations with securities may find that the securities have a rapidly depreciating value and may not be sufficient to cover their obligations in the event of liquidation. We are also exposed to credit risk when our customers execute transactions, such as short sales of options and equities that can expose them to risk beyond their invested capital.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this kind of exposure to increase with the growth of our overall business. Because we indemnify and hold harmless our clearing firms from certain liabilities or claims, the use of margin loans and short sales may expose us to significant off-balance-sheet risk in the event that collateral requirements are not sufficient to fully cover losses that customers may incur and those customers fail to satisfy their obligations. The amount of risk to which we are exposed from the margin financing to our customers and from short-selling transactions by our customers is not quantifiable as the risk is dependent upon analysis of a potential significant and undeterminable rise or fall in stock prices. As a matter of practice, we enforce real-time margin compliance monitoring and liquidate customers’ positions if their equity falls below required margin requirements.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comprehensive policy implemented in accordance with regulatory standards to assess and monitor the suitability of investors to engage in the trading activities that we offer. To mitigate our risk, we also continuously monitor customer accounts to detect excessive concentration, large orders or positions, patterns of day trading, high frequency trading, inactive accounts, trading that has no economic purpose, trading in illiquid securities and other activities that indicate increased risk to 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credit exposure is to a great extent mitigated by our policy of automatically evaluating each account throughout the trading day and closing out positions automatically or disabling further trading for accounts that are found to be under-margined. While this methodology is effective in most situations, it may not be effective in situations where no liquid market exists for the relevant securities or commodities or where, for any reason, automatic liquidation for certain accounts has been disabled.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Warrants and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Other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American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ADS Fees and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ADS holders are required to pay the following service fees to the depositary bank and certain taxes and governmental charges (in addition to any applicable fees, expenses, taxes and other governmental charges payable on the deposited securities represented by any ADSs):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5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884"/>
        </w:trPr>
        <w:tc>
          <w:tcPr>
            <w:tcW w:w="7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14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Fees</w:t>
            </w:r>
          </w:p>
        </w:tc>
      </w:tr>
      <w:tr>
        <w:trPr>
          <w:trHeight w:val="191"/>
        </w:trPr>
        <w:tc>
          <w:tcPr>
            <w:tcW w:w="722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  To any person to which ADSs are issued or to any person to which a distribution is made in</w:t>
            </w:r>
          </w:p>
        </w:tc>
        <w:tc>
          <w:tcPr>
            <w:tcW w:w="140" w:type="dxa"/>
            <w:vAlign w:val="bottom"/>
            <w:shd w:val="clear" w:color="auto" w:fill="CFF0FC"/>
          </w:tcPr>
          <w:p>
            <w:pPr>
              <w:spacing w:after="0"/>
              <w:rPr>
                <w:sz w:val="16"/>
                <w:szCs w:val="16"/>
                <w:color w:val="auto"/>
              </w:rPr>
            </w:pPr>
          </w:p>
        </w:tc>
        <w:tc>
          <w:tcPr>
            <w:tcW w:w="38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Up to US$0.05 per ADS issued</w:t>
            </w:r>
          </w:p>
        </w:tc>
      </w:tr>
      <w:tr>
        <w:trPr>
          <w:trHeight w:val="216"/>
        </w:trPr>
        <w:tc>
          <w:tcPr>
            <w:tcW w:w="7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respect of ADS distributions pursuant to stock dividends or other free distributions of stock,</w:t>
            </w:r>
          </w:p>
        </w:tc>
        <w:tc>
          <w:tcPr>
            <w:tcW w:w="140" w:type="dxa"/>
            <w:vAlign w:val="bottom"/>
            <w:shd w:val="clear" w:color="auto" w:fill="CFF0FC"/>
          </w:tcPr>
          <w:p>
            <w:pPr>
              <w:spacing w:after="0"/>
              <w:rPr>
                <w:sz w:val="18"/>
                <w:szCs w:val="18"/>
                <w:color w:val="auto"/>
              </w:rPr>
            </w:pPr>
          </w:p>
        </w:tc>
        <w:tc>
          <w:tcPr>
            <w:tcW w:w="3880" w:type="dxa"/>
            <w:vAlign w:val="bottom"/>
            <w:shd w:val="clear" w:color="auto" w:fill="CFF0FC"/>
          </w:tcPr>
          <w:p>
            <w:pPr>
              <w:spacing w:after="0"/>
              <w:rPr>
                <w:sz w:val="18"/>
                <w:szCs w:val="18"/>
                <w:color w:val="auto"/>
              </w:rPr>
            </w:pPr>
          </w:p>
        </w:tc>
      </w:tr>
      <w:tr>
        <w:trPr>
          <w:trHeight w:val="234"/>
        </w:trPr>
        <w:tc>
          <w:tcPr>
            <w:tcW w:w="72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bonus distributions, stock splits or other distributions (except where converted to cash)</w:t>
            </w:r>
          </w:p>
        </w:tc>
        <w:tc>
          <w:tcPr>
            <w:tcW w:w="140" w:type="dxa"/>
            <w:vAlign w:val="bottom"/>
            <w:shd w:val="clear" w:color="auto" w:fill="CFF0FC"/>
          </w:tcPr>
          <w:p>
            <w:pPr>
              <w:spacing w:after="0"/>
              <w:rPr>
                <w:sz w:val="20"/>
                <w:szCs w:val="20"/>
                <w:color w:val="auto"/>
              </w:rPr>
            </w:pPr>
          </w:p>
        </w:tc>
        <w:tc>
          <w:tcPr>
            <w:tcW w:w="3880" w:type="dxa"/>
            <w:vAlign w:val="bottom"/>
            <w:shd w:val="clear" w:color="auto" w:fill="CFF0FC"/>
          </w:tcPr>
          <w:p>
            <w:pPr>
              <w:spacing w:after="0"/>
              <w:rPr>
                <w:sz w:val="20"/>
                <w:szCs w:val="20"/>
                <w:color w:val="auto"/>
              </w:rPr>
            </w:pP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Cancellation of ADSs, including the case of termination of the deposit agreement</w:t>
            </w:r>
          </w:p>
        </w:tc>
        <w:tc>
          <w:tcPr>
            <w:tcW w:w="1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cancelled</w:t>
            </w:r>
          </w:p>
        </w:tc>
      </w:tr>
      <w:tr>
        <w:trPr>
          <w:trHeight w:val="216"/>
        </w:trPr>
        <w:tc>
          <w:tcPr>
            <w:tcW w:w="7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Distribution of cash dividends</w:t>
            </w:r>
          </w:p>
        </w:tc>
        <w:tc>
          <w:tcPr>
            <w:tcW w:w="140" w:type="dxa"/>
            <w:vAlign w:val="bottom"/>
            <w:shd w:val="clear" w:color="auto" w:fill="CFF0FC"/>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198"/>
        </w:trPr>
        <w:tc>
          <w:tcPr>
            <w:tcW w:w="7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  Distribution of cash entitlements (other than cash dividends) and/or cash proceeds from the sale</w:t>
            </w:r>
          </w:p>
        </w:tc>
        <w:tc>
          <w:tcPr>
            <w:tcW w:w="140" w:type="dxa"/>
            <w:vAlign w:val="bottom"/>
          </w:tcPr>
          <w:p>
            <w:pPr>
              <w:spacing w:after="0"/>
              <w:rPr>
                <w:sz w:val="17"/>
                <w:szCs w:val="17"/>
                <w:color w:val="auto"/>
              </w:rPr>
            </w:pPr>
          </w:p>
        </w:tc>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7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of rights, securities and other entitlements</w:t>
            </w:r>
          </w:p>
        </w:tc>
        <w:tc>
          <w:tcPr>
            <w:tcW w:w="1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216"/>
        </w:trPr>
        <w:tc>
          <w:tcPr>
            <w:tcW w:w="7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Distribution of ADSs pursuant to exercise of rights</w:t>
            </w:r>
          </w:p>
        </w:tc>
        <w:tc>
          <w:tcPr>
            <w:tcW w:w="140" w:type="dxa"/>
            <w:vAlign w:val="bottom"/>
            <w:shd w:val="clear" w:color="auto" w:fill="CFF0FC"/>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Distribution of securities other than ADSs or rights to purchase additional ADSs</w:t>
            </w:r>
          </w:p>
        </w:tc>
        <w:tc>
          <w:tcPr>
            <w:tcW w:w="1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198"/>
        </w:trPr>
        <w:tc>
          <w:tcPr>
            <w:tcW w:w="722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  Depositary services</w:t>
            </w:r>
          </w:p>
        </w:tc>
        <w:tc>
          <w:tcPr>
            <w:tcW w:w="140" w:type="dxa"/>
            <w:vAlign w:val="bottom"/>
            <w:shd w:val="clear" w:color="auto" w:fill="CFF0FC"/>
          </w:tcPr>
          <w:p>
            <w:pPr>
              <w:spacing w:after="0"/>
              <w:rPr>
                <w:sz w:val="17"/>
                <w:szCs w:val="17"/>
                <w:color w:val="auto"/>
              </w:rPr>
            </w:pPr>
          </w:p>
        </w:tc>
        <w:tc>
          <w:tcPr>
            <w:tcW w:w="38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Up to US$0.05 per ADS held on the applicable</w:t>
            </w:r>
          </w:p>
        </w:tc>
      </w:tr>
      <w:tr>
        <w:trPr>
          <w:trHeight w:val="234"/>
        </w:trPr>
        <w:tc>
          <w:tcPr>
            <w:tcW w:w="1300" w:type="dxa"/>
            <w:vAlign w:val="bottom"/>
            <w:shd w:val="clear" w:color="auto" w:fill="CFF0FC"/>
          </w:tcPr>
          <w:p>
            <w:pPr>
              <w:spacing w:after="0"/>
              <w:rPr>
                <w:sz w:val="20"/>
                <w:szCs w:val="20"/>
                <w:color w:val="auto"/>
              </w:rPr>
            </w:pPr>
          </w:p>
        </w:tc>
        <w:tc>
          <w:tcPr>
            <w:tcW w:w="5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record date(s) established by the depositary bank</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ADS holders are also responsible to pay certain fees and expenses incurred by the depositary bank and certain taxes and governmental charges (in addition to any applicable fees, expenses, taxes and other governmental charges payable on the deposited securities represented by any ADSs) such as:</w:t>
      </w:r>
    </w:p>
    <w:p>
      <w:pPr>
        <w:spacing w:after="0" w:line="162" w:lineRule="exact"/>
        <w:rPr>
          <w:sz w:val="20"/>
          <w:szCs w:val="20"/>
          <w:color w:val="auto"/>
        </w:rPr>
      </w:pPr>
    </w:p>
    <w:p>
      <w:pPr>
        <w:ind w:left="760" w:hanging="378"/>
        <w:spacing w:after="0" w:line="282"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ordinary shares charged by the registrar and transfer agent for the ordinary shares in the Cayman Islands (i.e., upon deposit and withdrawal of ordinary shares).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ordinary shares on deposit.</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ordinary shares, deposited securities, ADSs and ADRs.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fees and penalties thereon.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ADSs in their DTC accounts. The brokers and custodians who hold their clients’ ADSs in DTC accounts in turn charge their clients’ accounts the amount of the fees paid to the depositary banks.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Dividends, Arrearages, and Delinquencies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these events occurred in any of the years ended December 31, 2023, 2024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carried out an evaluation of the effectiveness of our disclosure controls and procedures, which is defined in Rule 13a-15(e) of the Exchange Act, as of December 31, 2025. Based upon that evaluation, our management, with the participation of our chief executive officer and chief financial officer, concluded that our disclosure controls and procedures were effective in ensuring that information required to be disclosed by us in the reports that we file or submit under the Exchange Act is recorded, processed, summarized and reported, within the time periods specified in the SEC’s rule and forms and that such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of the Exchange Act). Our management evaluated the effectiveness of our internal control over financial reporting based on criteria established in the framework in Internal Control-Integrated Framework (2013) issued by the Committee of Sponsoring Organizations of the Treadway Commission (COSO). Based on this evaluation, our management has concluded that our internal control over financial reporting was effective as of December 31,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Independent Registered Public Accounting Firm</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KPMG Huazhen LLP has audited the effectiveness of our internal control over financial reporting as of December 31, 2025 as stated in its report, which appears on page F-3 of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Audit Committee Financial Expert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Board of Directors has determined that Mr. Chia Hung Yang, the chairman of our audit committee, is an audit committee financial expert.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 is an independent director under the Nasdaq standards.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Code of Ethics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a Code of Business Conduct and Ethics which is applicable to all of its directors, officers and employees, including certain portions of the Code of Business Conduct and Ethics which are only applicable to the Company’s chief executive officer, chief financial officer, other chief senior officers, senior finance officer, controller, vice presidents and any other persons who perform similar functions (defined in the Code of Business Conduct and Ethics as “senior officers”). This Code of Business Conduct and Ethics is posted on its website, www.itiger.com. The information contained on the Company’s website is not included in, or incorporated by reference into, this annual report on Form 20-F.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Principal Accountant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the categories specified below in connection with certain professional services rendered by KPMG Huazhen LLP and KPMG member firm for the years indicated. We did not pay any other fees to our auditors during the years indicated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4420" w:type="dxa"/>
            <w:vAlign w:val="bottom"/>
            <w:tcBorders>
              <w:bottom w:val="single" w:sz="8" w:color="auto"/>
            </w:tcBorders>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1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900" w:type="dxa"/>
            <w:vAlign w:val="bottom"/>
          </w:tcPr>
          <w:p>
            <w:pPr>
              <w:spacing w:after="0"/>
              <w:rPr>
                <w:sz w:val="18"/>
                <w:szCs w:val="18"/>
                <w:color w:val="auto"/>
              </w:rPr>
            </w:pPr>
          </w:p>
        </w:tc>
        <w:tc>
          <w:tcPr>
            <w:tcW w:w="296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4900" w:type="dxa"/>
            <w:vAlign w:val="bottom"/>
          </w:tcPr>
          <w:p>
            <w:pPr>
              <w:spacing w:after="0"/>
              <w:rPr>
                <w:sz w:val="18"/>
                <w:szCs w:val="18"/>
                <w:color w:val="auto"/>
              </w:rPr>
            </w:pPr>
          </w:p>
        </w:tc>
        <w:tc>
          <w:tcPr>
            <w:tcW w:w="2960" w:type="dxa"/>
            <w:vAlign w:val="bottom"/>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US$ 000</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2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US$ 000</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4"/>
                <w:szCs w:val="24"/>
                <w:color w:val="auto"/>
                <w:vertAlign w:val="superscript"/>
              </w:rPr>
              <w:t>(1)</w:t>
            </w:r>
          </w:p>
        </w:tc>
        <w:tc>
          <w:tcPr>
            <w:tcW w:w="2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4"/>
                <w:szCs w:val="24"/>
                <w:color w:val="auto"/>
                <w:vertAlign w:val="superscript"/>
              </w:rPr>
              <w:t>(2)</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4"/>
                <w:szCs w:val="24"/>
                <w:color w:val="auto"/>
                <w:vertAlign w:val="superscript"/>
              </w:rPr>
              <w:t>(3)</w:t>
            </w:r>
          </w:p>
        </w:tc>
        <w:tc>
          <w:tcPr>
            <w:tcW w:w="4420" w:type="dxa"/>
            <w:vAlign w:val="bottom"/>
            <w:gridSpan w:val="3"/>
            <w:shd w:val="clear" w:color="auto" w:fill="CFF0FC"/>
          </w:tcPr>
          <w:p>
            <w:pPr>
              <w:jc w:val="right"/>
              <w:ind w:right="14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24"/>
                <w:szCs w:val="24"/>
                <w:color w:val="auto"/>
                <w:vertAlign w:val="superscript"/>
              </w:rPr>
              <w:t>(4)</w:t>
            </w:r>
          </w:p>
        </w:tc>
        <w:tc>
          <w:tcPr>
            <w:tcW w:w="4420" w:type="dxa"/>
            <w:vAlign w:val="bottom"/>
            <w:gridSpan w:val="3"/>
          </w:tcPr>
          <w:p>
            <w:pPr>
              <w:jc w:val="right"/>
              <w:ind w:right="14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900" w:type="dxa"/>
            <w:vAlign w:val="bottom"/>
            <w:tcBorders>
              <w:bottom w:val="single" w:sz="8" w:color="CFF0FC"/>
            </w:tcBorders>
            <w:shd w:val="clear" w:color="auto" w:fill="CFF0FC"/>
          </w:tcPr>
          <w:p>
            <w:pPr>
              <w:spacing w:after="0"/>
              <w:rPr>
                <w:sz w:val="21"/>
                <w:szCs w:val="21"/>
                <w:color w:val="auto"/>
              </w:rPr>
            </w:pPr>
          </w:p>
        </w:tc>
        <w:tc>
          <w:tcPr>
            <w:tcW w:w="2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2,893</w:t>
            </w:r>
          </w:p>
        </w:tc>
        <w:tc>
          <w:tcPr>
            <w:tcW w:w="3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spacing w:after="0"/>
              <w:rPr>
                <w:sz w:val="21"/>
                <w:szCs w:val="21"/>
                <w:color w:val="auto"/>
              </w:rPr>
            </w:pP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2,621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left="760" w:hanging="378"/>
        <w:spacing w:after="0" w:line="261"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 the aggregate fees billed or to be billed for professional services rendered by KPMG Huazhen LLP for the audit of our annual financial statements, the reviews of our quarterly financial statements and services related to comfort letter issuance and for professional services rendered by KPMG member firms for the audits of financial statements of certain subsidiaries within the Group (including administrative fees, local tax and surcharges).</w:t>
      </w:r>
    </w:p>
    <w:p>
      <w:pPr>
        <w:spacing w:after="0" w:line="179"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represent the aggregate fees billed or to be billed in each of the fiscal years listed for professional services rendered by our principal auditor for tax compliance and tax advice (including administrative fees, local tax and surcharges).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are fees billed or to be billed in each of the fiscal years for assurance and related services by the KPMG member firm that are reasonably related to the performance of the audit or review of the registrant’s financial statements and are not reported under “Audit Fees” (including administrative fees, local tax and surcharges).</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are fees billed or to be billed in each of the fiscal years for products and services provided by the principal accountant, other than the services reported under the other three line items.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Committee’s Pre-Approval Policies and Procedures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Audit Committee is responsible for appointing the independent auditors and pre-approving all auditing and non-auditing services permitted to be performed by the independent auditors. All of the audit fees and non-audit fees paid with respect to 2025 were approved by the Audit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Exemptions from the Listing Standards for Audit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foreign private issuer whose Class A ordinary shares and ADSs are listed on the Nasdaq Global Select Market, we are permitted to follow certain home country corporate governance practices instead of certain Nasdaq requirements. A foreign private issuer that elects to follow its home country practice must submit to The Nasdaq Stock Market LLC a written statement from an independent counsel in such issuer’s home country certifying that the issuer’s practices are not prohibited by the home country’s laws. In addition, a foreign private issuer must disclose in its annual reports filed with the SEC each Nasdaq requirement with which it does not comply followed by a description of its applicable home country practice.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company incorporated in the Cayman Islands with Class A ordinary shares and ADSs to be listed on the Nasdaq Global Select Market, we chose to follow our home country practice instead of Nasdaq requirements that mandate that:</w:t>
      </w:r>
    </w:p>
    <w:p>
      <w:pPr>
        <w:spacing w:after="0" w:line="162" w:lineRule="exact"/>
        <w:rPr>
          <w:sz w:val="20"/>
          <w:szCs w:val="20"/>
          <w:color w:val="auto"/>
        </w:rPr>
      </w:pPr>
    </w:p>
    <w:p>
      <w:pPr>
        <w:ind w:left="760" w:hanging="378"/>
        <w:spacing w:after="0"/>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be comprised of a majority of independent directors;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be selected or nominated by a majority of the independent directors or a nomination committee comprised solely of independent directors;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adopt a formal written charter or board resolution addressing the director nominations process and such related matters as may be required under the U.S. federal securities laws;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our executive officers be determined or recommended by a compensation committee comprised solely of independent directors;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approval be required prior to the issuance of securities when a stock option or other equity compensation arrangement is established or materially amended, pursuant to which stock may be acquired by officers, directors, employees, or consultants.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 applicable. For further information, see Item 3. Key Information and Item 3.D “Risk Factors – The audit report included in this annual report has been prepared by our independent registered public accounting firm, whose work the Public Company Accounting Oversight Board was previously unable to inspect and, as such, you have previously been deprived of the benefits of such inspection and may be deprived of such benefits in the future if the work of our independent registered public accounting firm is unable to be inspected again.”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senior managers and employees of our company that are reasonably designed to promote compliance with applicable insider trading laws, rules and regulations and any listing rules applicable to us. Copies of our Inside and Confidential Information Management Policy and our Employee Trading Management Policy were filed as Exhibits 11.2 and 11.3 to the annual report on Form 20-F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and Board recognize the critical importance that a robust cybersecurity program and processes play in maintaining the integrity of our information technology networks and systems, which we rely upon to securely process, transmit and store electronic information and to communicate among our locations and with our customers and partners.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identify and address information security risks by employing a defense-in-depth methodology that provides multiple, redundant defensive measures in case a security control fails or a vulnerability is exploited. Our policies include procedures for handling urgent problems, accident classification standards, and internal audit standards for information security. We have passed Information Security Management Systems (ISMS) certifications such as ISO27001 and ISO27701, and we follow these and other international standards to assess, identify and manage cybersecurity threats.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internal resources, we also leverage external resources to mitigate cybersecurity threats to the Company, including partnering with third parties to conduct penetration testing, attack and defense exercises; perform annual audits and certifications of our cybersecurity and information technology processes and performance; and supply us with defensive tools.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processes in place to oversee and identify risks that may arise from cybersecurity threats associated with our use of third-party service providers, including contract review procedures that apply to third party vendors handling or having access to company information. Our security team conducts additional cybersecurity due diligence on certain vendors involved in customer data sharing.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Oversight of cybersecurity risk is integrated into our overall enterprise risk management framework.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management level, our Chief Information Officer (“CIO”) oversees our cybersecurity program and risks, with more than 15 years of experience in the online advertising and fintech industry, including significant engineering experience and responsibility for building trading systems, anti-fraud systems, and risk management systems. Our CIO holds a M.S. degree in Computer Science from Institute of Software, Chinese Academy of Sciences, and a B.S. degree from Huazhong University of Science and Technology.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CIO oversees our research and development (“R&amp;D”) department, which is responsible for detecting, identifying, monitoring, and remediating IT and cybersecurity risks. The security team within the R&amp;D department prepares and disseminates to vice presidents, team leaders and licensed entity team leaders a security monthly report regarding our security posture, critical business security metrics, security incidents, security audits, and other security-related matters.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Board level, cybersecurity risk oversight has been delegated to our Operation Committee, which is a sub-committee of the Board of Directors composed of our non-independent directors. The Operation Committee meets weekly, and our CIO reports to the Operation Committee in the event any significant risks or incidents have been identified. In addition, the Operations Committee has an online working group where the CIO will promptly report any cybersecurity incidents and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10, 2025, we experienced a ransomware attack, resulting in restrictions of access to certain office environment shared folders and completed the recovery of all of the affected file data on July 20, 2025. We engaged an independent third-party cybersecurity expert, with support from its managed detection and response provider, to investigate the nature and scope of the incident, assist with containment, and ensure no ongoing unauthorized activity. We also promptly notified the relevant regulatory authorities upon discovery of the incident, and we have not received any notices related to the commencement of any formal disciplinary proceedings with respect to this incident. Recommended and implemented remediation measures have already been adopted, including rebuilding affected devices, credential resets, enhanced monitoring and endpoint protection, phased migration away from the legacy VPN toward a zero-trust access model, and further strengthening of network segregation and ransomware defenses, aiming to prevent similar incident in the future. To date, we have worked with data discovery and review team to determine the scope, nature, and extent of information potentially impacted. We have notified business partners and critical vendors about the incident. For the year ended December 31, 2025, we incurred approximately $1.86 million of costs related to remediation, restoration, communications, investigation and analysis, legal services, and other related expenses. We will invest more on the prioritization and upgrade on our systems and network defenses, aiming to prevent similar incident in the future. There’s no other similar incident occurred for the year ended December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report, the incident did not materially affect us, our business strategy, results of operation or financial condition.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audited Consolidated Financial Statements as required under Item 18 are attached hereto starting on page F-1 of this annual report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included as part of this annual report on Form 20-F is set forth in the Index to Exhibits immediately following this Item 19.</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760" w:type="dxa"/>
            <w:vAlign w:val="bottom"/>
            <w:tcBorders>
              <w:bottom w:val="single" w:sz="8" w:color="auto"/>
            </w:tcBorders>
            <w:gridSpan w:val="7"/>
          </w:tcPr>
          <w:p>
            <w:pPr>
              <w:ind w:left="17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496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tc>
      </w:tr>
      <w:tr>
        <w:trPr>
          <w:trHeight w:val="169"/>
        </w:trPr>
        <w:tc>
          <w:tcPr>
            <w:tcW w:w="6280" w:type="dxa"/>
            <w:vAlign w:val="bottom"/>
            <w:gridSpan w:val="11"/>
          </w:tcPr>
          <w:p>
            <w:pPr>
              <w:ind w:left="920"/>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  </w:t>
            </w:r>
            <w:hyperlink r:id="rId395">
              <w:r>
                <w:rPr>
                  <w:rFonts w:ascii="Times New Roman" w:cs="Times New Roman" w:eastAsia="Times New Roman" w:hAnsi="Times New Roman"/>
                  <w:sz w:val="18"/>
                  <w:szCs w:val="18"/>
                  <w:color w:val="0000EE"/>
                </w:rPr>
                <w:t>F</w:t>
              </w:r>
              <w:r>
                <w:rPr>
                  <w:rFonts w:ascii="Times New Roman" w:cs="Times New Roman" w:eastAsia="Times New Roman" w:hAnsi="Times New Roman"/>
                  <w:sz w:val="18"/>
                  <w:szCs w:val="18"/>
                  <w:color w:val="0000FF"/>
                </w:rPr>
                <w:t>ourth Amended and Restated Memorandum and Articles of</w:t>
              </w:r>
            </w:hyperlink>
          </w:p>
        </w:tc>
        <w:tc>
          <w:tcPr>
            <w:tcW w:w="496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Exhibit 3.2 to the registration statement on Form F-1 (File No. 333-</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8"/>
          </w:tcPr>
          <w:p>
            <w:pPr>
              <w:spacing w:after="0" w:line="196"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Association of the Registrant</w:t>
              </w:r>
            </w:hyperlink>
          </w:p>
        </w:tc>
        <w:tc>
          <w:tcPr>
            <w:tcW w:w="49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229808), as amended, initially filed with the SEC on February 22,</w:t>
            </w:r>
          </w:p>
        </w:tc>
      </w:tr>
      <w:tr>
        <w:trPr>
          <w:trHeight w:val="237"/>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980" w:type="dxa"/>
            <w:vAlign w:val="bottom"/>
            <w:tcBorders>
              <w:top w:val="single" w:sz="8" w:color="0000FF"/>
            </w:tcBorders>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2019)</w:t>
            </w:r>
          </w:p>
        </w:tc>
      </w:tr>
      <w:tr>
        <w:trPr>
          <w:trHeight w:val="392"/>
        </w:trPr>
        <w:tc>
          <w:tcPr>
            <w:tcW w:w="6280" w:type="dxa"/>
            <w:vAlign w:val="bottom"/>
            <w:gridSpan w:val="11"/>
          </w:tcPr>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hyperlink r:id="rId396">
              <w:r>
                <w:rPr>
                  <w:rFonts w:ascii="Times New Roman" w:cs="Times New Roman" w:eastAsia="Times New Roman" w:hAnsi="Times New Roman"/>
                  <w:sz w:val="18"/>
                  <w:szCs w:val="18"/>
                  <w:color w:val="0000FF"/>
                </w:rPr>
                <w:t>Description of the registrant’s securities registered pursuant to</w:t>
              </w:r>
            </w:hyperlink>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2.1 to the annual report on Form 20-F (File No. 001-38833)</w:t>
            </w:r>
          </w:p>
        </w:tc>
      </w:tr>
      <w:tr>
        <w:trPr>
          <w:trHeight w:val="196"/>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top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Section 12 of the Exchange Act.</w:t>
              </w:r>
            </w:hyperlink>
          </w:p>
        </w:tc>
        <w:tc>
          <w:tcPr>
            <w:tcW w:w="340" w:type="dxa"/>
            <w:vAlign w:val="bottom"/>
            <w:gridSpan w:val="2"/>
          </w:tcPr>
          <w:p>
            <w:pPr>
              <w:spacing w:after="0"/>
              <w:rPr>
                <w:sz w:val="17"/>
                <w:szCs w:val="17"/>
                <w:color w:val="auto"/>
              </w:rPr>
            </w:pPr>
          </w:p>
        </w:tc>
        <w:tc>
          <w:tcPr>
            <w:tcW w:w="49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filed with the SEC on April 29, 2020</w:t>
            </w:r>
          </w:p>
        </w:tc>
      </w:tr>
      <w:tr>
        <w:trPr>
          <w:trHeight w:val="20"/>
        </w:trPr>
        <w:tc>
          <w:tcPr>
            <w:tcW w:w="1440" w:type="dxa"/>
            <w:vAlign w:val="bottom"/>
            <w:gridSpan w:val="3"/>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412"/>
        </w:trPr>
        <w:tc>
          <w:tcPr>
            <w:tcW w:w="6280" w:type="dxa"/>
            <w:vAlign w:val="bottom"/>
            <w:gridSpan w:val="11"/>
          </w:tcPr>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color w:val="0000EE"/>
              </w:rPr>
              <w:t>S</w:t>
            </w:r>
            <w:hyperlink r:id="rId397">
              <w:r>
                <w:rPr>
                  <w:rFonts w:ascii="Times New Roman" w:cs="Times New Roman" w:eastAsia="Times New Roman" w:hAnsi="Times New Roman"/>
                  <w:sz w:val="18"/>
                  <w:szCs w:val="18"/>
                  <w:color w:val="0000FF"/>
                </w:rPr>
                <w:t>pecimen American Depositary Receipt (contained in Exhibit 2.4)</w:t>
              </w:r>
            </w:hyperlink>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4.3 to the registration statement on Form F-1 (File No. 333-</w:t>
            </w:r>
          </w:p>
        </w:tc>
      </w:tr>
      <w:tr>
        <w:trPr>
          <w:trHeight w:val="218"/>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229808), as amended, initially filed with the SEC on February 22,</w:t>
            </w: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2019)</w:t>
            </w:r>
          </w:p>
        </w:tc>
      </w:tr>
      <w:tr>
        <w:trPr>
          <w:trHeight w:val="392"/>
        </w:trPr>
        <w:tc>
          <w:tcPr>
            <w:tcW w:w="6280" w:type="dxa"/>
            <w:vAlign w:val="bottom"/>
            <w:gridSpan w:val="11"/>
          </w:tcPr>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color w:val="0000EE"/>
              </w:rPr>
              <w:t>S</w:t>
            </w:r>
            <w:hyperlink r:id="rId398">
              <w:r>
                <w:rPr>
                  <w:rFonts w:ascii="Times New Roman" w:cs="Times New Roman" w:eastAsia="Times New Roman" w:hAnsi="Times New Roman"/>
                  <w:sz w:val="18"/>
                  <w:szCs w:val="18"/>
                  <w:color w:val="0000FF"/>
                </w:rPr>
                <w:t>pecimen Form of Class A Ordinary Share Certificate</w:t>
              </w:r>
            </w:hyperlink>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4.2 to the registration statement on Form F-1 (File No. 333-</w:t>
            </w:r>
          </w:p>
        </w:tc>
      </w:tr>
      <w:tr>
        <w:trPr>
          <w:trHeight w:val="218"/>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58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229808), as amended, initially filed with the SEC on February 22,</w:t>
            </w: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2019)</w:t>
            </w:r>
          </w:p>
        </w:tc>
      </w:tr>
    </w:tbl>
    <w:p>
      <w:pPr>
        <w:spacing w:after="0" w:line="198" w:lineRule="exact"/>
        <w:rPr>
          <w:sz w:val="20"/>
          <w:szCs w:val="20"/>
          <w:color w:val="auto"/>
        </w:rPr>
      </w:pPr>
    </w:p>
    <w:p>
      <w:pPr>
        <w:sectPr>
          <w:pgSz w:w="11900" w:h="16838" w:orient="portrait"/>
          <w:cols w:equalWidth="0" w:num="1">
            <w:col w:w="11240"/>
          </w:cols>
          <w:pgMar w:left="320" w:top="769" w:right="339" w:bottom="1440" w:gutter="0" w:footer="0" w:header="0"/>
        </w:sectPr>
      </w:pPr>
    </w:p>
    <w:p>
      <w:pPr>
        <w:ind w:left="1420" w:hanging="48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2.4†† </w:t>
      </w:r>
      <w:hyperlink r:id="rId397">
        <w:r>
          <w:rPr>
            <w:rFonts w:ascii="Times New Roman" w:cs="Times New Roman" w:eastAsia="Times New Roman" w:hAnsi="Times New Roman"/>
            <w:sz w:val="18"/>
            <w:szCs w:val="18"/>
            <w:u w:val="single" w:color="auto"/>
            <w:color w:val="0000FF"/>
          </w:rPr>
          <w:t>Form of Deposit Agreement, among the Registrant, the depositary</w:t>
        </w:r>
      </w:hyperlink>
      <w:r>
        <w:rPr>
          <w:rFonts w:ascii="Times New Roman" w:cs="Times New Roman" w:eastAsia="Times New Roman" w:hAnsi="Times New Roman"/>
          <w:sz w:val="18"/>
          <w:szCs w:val="18"/>
          <w:color w:val="auto"/>
        </w:rPr>
        <w:t xml:space="preserve"> </w:t>
      </w:r>
      <w:hyperlink r:id="rId397">
        <w:r>
          <w:rPr>
            <w:rFonts w:ascii="Times New Roman" w:cs="Times New Roman" w:eastAsia="Times New Roman" w:hAnsi="Times New Roman"/>
            <w:sz w:val="18"/>
            <w:szCs w:val="18"/>
            <w:u w:val="single" w:color="auto"/>
            <w:color w:val="0000FF"/>
          </w:rPr>
          <w:t>and the holders and beneficial owners of American Depositary</w:t>
        </w:r>
      </w:hyperlink>
      <w:r>
        <w:rPr>
          <w:rFonts w:ascii="Times New Roman" w:cs="Times New Roman" w:eastAsia="Times New Roman" w:hAnsi="Times New Roman"/>
          <w:sz w:val="18"/>
          <w:szCs w:val="18"/>
          <w:u w:val="single" w:color="auto"/>
          <w:color w:val="0000FF"/>
        </w:rPr>
        <w:t xml:space="preserve"> </w:t>
      </w:r>
      <w:hyperlink r:id="rId397">
        <w:r>
          <w:rPr>
            <w:rFonts w:ascii="Times New Roman" w:cs="Times New Roman" w:eastAsia="Times New Roman" w:hAnsi="Times New Roman"/>
            <w:sz w:val="18"/>
            <w:szCs w:val="18"/>
            <w:u w:val="single" w:color="auto"/>
            <w:color w:val="0000FF"/>
          </w:rPr>
          <w:t>Shares issued thereunder</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899160</wp:posOffset>
            </wp:positionH>
            <wp:positionV relativeFrom="paragraph">
              <wp:posOffset>-313055</wp:posOffset>
            </wp:positionV>
            <wp:extent cx="30556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9">
                      <a:extLst>
                        <a:ext uri="{28A0092B-C50C-407E-A947-70E740481C1C}"/>
                      </a:extLst>
                    </a:blip>
                    <a:srcRect/>
                    <a:stretch>
                      <a:fillRect/>
                    </a:stretch>
                  </pic:blipFill>
                  <pic:spPr bwMode="auto">
                    <a:xfrm>
                      <a:off x="0" y="0"/>
                      <a:ext cx="305562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-175895</wp:posOffset>
            </wp:positionV>
            <wp:extent cx="288988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2889885"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-38735</wp:posOffset>
            </wp:positionV>
            <wp:extent cx="113601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color w:val="auto"/>
        </w:rPr>
      </w:pPr>
    </w:p>
    <w:p>
      <w:pPr>
        <w:ind w:left="920"/>
        <w:spacing w:after="0"/>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2.5†</w:t>
      </w:r>
      <w:r>
        <w:rPr>
          <w:sz w:val="20"/>
          <w:szCs w:val="20"/>
          <w:color w:val="auto"/>
        </w:rPr>
        <w:tab/>
      </w:r>
      <w:hyperlink r:id="rId402">
        <w:r>
          <w:rPr>
            <w:rFonts w:ascii="Times New Roman" w:cs="Times New Roman" w:eastAsia="Times New Roman" w:hAnsi="Times New Roman"/>
            <w:sz w:val="17"/>
            <w:szCs w:val="17"/>
            <w:u w:val="single" w:color="auto"/>
            <w:color w:val="0000FF"/>
          </w:rPr>
          <w:t>Form of Registration Rights Agreement</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899160</wp:posOffset>
            </wp:positionH>
            <wp:positionV relativeFrom="paragraph">
              <wp:posOffset>-7620</wp:posOffset>
            </wp:positionV>
            <wp:extent cx="18211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3">
                      <a:extLst>
                        <a:ext uri="{28A0092B-C50C-407E-A947-70E740481C1C}"/>
                      </a:extLst>
                    </a:blip>
                    <a:srcRect/>
                    <a:stretch>
                      <a:fillRect/>
                    </a:stretch>
                  </pic:blipFill>
                  <pic:spPr bwMode="auto">
                    <a:xfrm>
                      <a:off x="0" y="0"/>
                      <a:ext cx="1821180" cy="8890"/>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ind w:right="20"/>
        <w:spacing w:after="0" w:line="266" w:lineRule="auto"/>
        <w:rPr>
          <w:sz w:val="20"/>
          <w:szCs w:val="20"/>
          <w:color w:val="auto"/>
        </w:rPr>
      </w:pPr>
      <w:r>
        <w:rPr>
          <w:rFonts w:ascii="Times New Roman" w:cs="Times New Roman" w:eastAsia="Times New Roman" w:hAnsi="Times New Roman"/>
          <w:sz w:val="18"/>
          <w:szCs w:val="18"/>
          <w:color w:val="auto"/>
        </w:rPr>
        <w:t>Exhibit 4.3 to the registration statement on Form F-1 (File No. 333-229808), as amended, initially filed with the SEC on February 22, 2019)</w:t>
      </w:r>
    </w:p>
    <w:p>
      <w:pPr>
        <w:spacing w:after="0" w:line="176" w:lineRule="exact"/>
        <w:rPr>
          <w:rFonts w:ascii="Times New Roman" w:cs="Times New Roman" w:eastAsia="Times New Roman" w:hAnsi="Times New Roman"/>
          <w:sz w:val="18"/>
          <w:szCs w:val="18"/>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Exhibit 4.4 to the registration statement on Form F-1 (File No. 333-229808), as amended, initially filed with the SEC on February 22, 2019)</w:t>
      </w:r>
    </w:p>
    <w:p>
      <w:pPr>
        <w:spacing w:after="0" w:line="176" w:lineRule="exact"/>
        <w:rPr>
          <w:rFonts w:ascii="Times New Roman" w:cs="Times New Roman" w:eastAsia="Times New Roman" w:hAnsi="Times New Roman"/>
          <w:sz w:val="18"/>
          <w:szCs w:val="18"/>
          <w:color w:val="auto"/>
        </w:rPr>
      </w:pPr>
    </w:p>
    <w:p>
      <w:pPr>
        <w:sectPr>
          <w:pgSz w:w="11900" w:h="16838" w:orient="portrait"/>
          <w:cols w:equalWidth="0" w:num="2">
            <w:col w:w="6180" w:space="160"/>
            <w:col w:w="4900"/>
          </w:cols>
          <w:pgMar w:left="320" w:top="769" w:right="339" w:bottom="1440" w:gutter="0" w:footer="0" w:header="0"/>
          <w:type w:val="continuous"/>
        </w:sectPr>
      </w:pPr>
    </w:p>
    <w:p>
      <w:pPr>
        <w:ind w:left="920"/>
        <w:spacing w:after="0"/>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404">
        <w:r>
          <w:rPr>
            <w:rFonts w:ascii="Times New Roman" w:cs="Times New Roman" w:eastAsia="Times New Roman" w:hAnsi="Times New Roman"/>
            <w:sz w:val="18"/>
            <w:szCs w:val="18"/>
            <w:u w:val="single" w:color="auto"/>
            <w:color w:val="0000FF"/>
          </w:rPr>
          <w:t xml:space="preserve">Form of Irrevocable Voting Proxy by and among holders of options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3.1 to the annual report on Form 20-F (File No. 001-38833)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899160</wp:posOffset>
            </wp:positionH>
            <wp:positionV relativeFrom="paragraph">
              <wp:posOffset>-7620</wp:posOffset>
            </wp:positionV>
            <wp:extent cx="31242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5">
                      <a:extLst>
                        <a:ext uri="{28A0092B-C50C-407E-A947-70E740481C1C}"/>
                      </a:extLst>
                    </a:blip>
                    <a:srcRect/>
                    <a:stretch>
                      <a:fillRect/>
                    </a:stretch>
                  </pic:blipFill>
                  <pic:spPr bwMode="auto">
                    <a:xfrm>
                      <a:off x="0" y="0"/>
                      <a:ext cx="3124200"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color w:val="auto"/>
        </w:rPr>
      </w:pPr>
    </w:p>
    <w:p>
      <w:pPr>
        <w:ind w:left="1420" w:right="2240"/>
        <w:spacing w:after="0" w:line="260" w:lineRule="auto"/>
        <w:rPr>
          <w:rFonts w:ascii="Times New Roman" w:cs="Times New Roman" w:eastAsia="Times New Roman" w:hAnsi="Times New Roman"/>
          <w:sz w:val="18"/>
          <w:szCs w:val="18"/>
          <w:u w:val="single" w:color="auto"/>
          <w:color w:val="0000FF"/>
        </w:rPr>
      </w:pPr>
      <w:hyperlink r:id="rId404">
        <w:r>
          <w:rPr>
            <w:rFonts w:ascii="Times New Roman" w:cs="Times New Roman" w:eastAsia="Times New Roman" w:hAnsi="Times New Roman"/>
            <w:sz w:val="18"/>
            <w:szCs w:val="18"/>
            <w:u w:val="single" w:color="auto"/>
            <w:color w:val="0000FF"/>
          </w:rPr>
          <w:t>awarded under the 2018 Share Incentive Plan and the 2019</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with the SEC on April 29, 2020</w:t>
      </w:r>
      <w:r>
        <w:rPr>
          <w:rFonts w:ascii="Times New Roman" w:cs="Times New Roman" w:eastAsia="Times New Roman" w:hAnsi="Times New Roman"/>
          <w:sz w:val="18"/>
          <w:szCs w:val="18"/>
          <w:color w:val="0000FF"/>
        </w:rPr>
        <w:t xml:space="preserve"> </w:t>
      </w:r>
      <w:hyperlink r:id="rId404">
        <w:r>
          <w:rPr>
            <w:rFonts w:ascii="Times New Roman" w:cs="Times New Roman" w:eastAsia="Times New Roman" w:hAnsi="Times New Roman"/>
            <w:sz w:val="18"/>
            <w:szCs w:val="18"/>
            <w:u w:val="single" w:color="auto"/>
            <w:color w:val="0000FF"/>
          </w:rPr>
          <w:t>Performance Incentive Plan and Wu Tianhua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-172720</wp:posOffset>
            </wp:positionV>
            <wp:extent cx="272224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6">
                      <a:extLst>
                        <a:ext uri="{28A0092B-C50C-407E-A947-70E740481C1C}"/>
                      </a:extLst>
                    </a:blip>
                    <a:srcRect/>
                    <a:stretch>
                      <a:fillRect/>
                    </a:stretch>
                  </pic:blipFill>
                  <pic:spPr bwMode="auto">
                    <a:xfrm>
                      <a:off x="0" y="0"/>
                      <a:ext cx="2722245"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-35560</wp:posOffset>
            </wp:positionV>
            <wp:extent cx="20586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7">
                      <a:extLst>
                        <a:ext uri="{28A0092B-C50C-407E-A947-70E740481C1C}"/>
                      </a:extLst>
                    </a:blip>
                    <a:srcRect/>
                    <a:stretch>
                      <a:fillRect/>
                    </a:stretch>
                  </pic:blipFill>
                  <pic:spPr bwMode="auto">
                    <a:xfrm>
                      <a:off x="0" y="0"/>
                      <a:ext cx="205867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p>
      <w:pPr>
        <w:spacing w:after="0" w:line="181" w:lineRule="exact"/>
        <w:rPr>
          <w:sz w:val="20"/>
          <w:szCs w:val="20"/>
          <w:color w:val="auto"/>
        </w:rPr>
      </w:pPr>
    </w:p>
    <w:p>
      <w:pPr>
        <w:ind w:left="1420" w:hanging="488"/>
        <w:spacing w:after="0" w:line="312"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408">
        <w:r>
          <w:rPr>
            <w:rFonts w:ascii="Times New Roman" w:cs="Times New Roman" w:eastAsia="Times New Roman" w:hAnsi="Times New Roman"/>
            <w:sz w:val="17"/>
            <w:szCs w:val="17"/>
            <w:u w:val="single" w:color="auto"/>
            <w:color w:val="0000FF"/>
          </w:rPr>
          <w:t>English translation of Exclusive Business Cooperation Agreement</w:t>
        </w:r>
      </w:hyperlink>
      <w:r>
        <w:rPr>
          <w:rFonts w:ascii="Times New Roman" w:cs="Times New Roman" w:eastAsia="Times New Roman" w:hAnsi="Times New Roman"/>
          <w:sz w:val="17"/>
          <w:szCs w:val="17"/>
          <w:u w:val="single" w:color="auto"/>
          <w:color w:val="0000FF"/>
        </w:rPr>
        <w:t xml:space="preserve"> </w:t>
      </w:r>
      <w:hyperlink r:id="rId408">
        <w:r>
          <w:rPr>
            <w:rFonts w:ascii="Times New Roman" w:cs="Times New Roman" w:eastAsia="Times New Roman" w:hAnsi="Times New Roman"/>
            <w:sz w:val="17"/>
            <w:szCs w:val="17"/>
            <w:u w:val="single" w:color="auto"/>
            <w:color w:val="0000FF"/>
          </w:rPr>
          <w:t>between Beijing Rongke and Beijing Bohu dated June 7,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-198755</wp:posOffset>
            </wp:positionV>
            <wp:extent cx="30556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305562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-61595</wp:posOffset>
            </wp:positionV>
            <wp:extent cx="284924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2849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Exhibit 10.1 to the registration statement on Form F-1 (File No. 333-229808), as amended, initially filed with the SEC on February 22, 2019)</w:t>
      </w:r>
    </w:p>
    <w:p>
      <w:pPr>
        <w:spacing w:after="0" w:line="200" w:lineRule="exact"/>
        <w:rPr>
          <w:sz w:val="20"/>
          <w:szCs w:val="20"/>
          <w:color w:val="auto"/>
        </w:rPr>
      </w:pPr>
    </w:p>
    <w:p>
      <w:pPr>
        <w:sectPr>
          <w:pgSz w:w="11900" w:h="16838" w:orient="portrait"/>
          <w:cols w:equalWidth="0" w:num="2">
            <w:col w:w="6180" w:space="160"/>
            <w:col w:w="4900"/>
          </w:cols>
          <w:pgMar w:left="320" w:top="769" w:right="33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420" w:hanging="488"/>
        <w:spacing w:after="0" w:line="261" w:lineRule="auto"/>
        <w:tabs>
          <w:tab w:leader="none" w:pos="140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4.2†</w:t>
      </w:r>
      <w:r>
        <w:rPr>
          <w:sz w:val="20"/>
          <w:szCs w:val="20"/>
          <w:color w:val="auto"/>
        </w:rPr>
        <w:tab/>
      </w:r>
      <w:hyperlink r:id="rId413">
        <w:r>
          <w:rPr>
            <w:rFonts w:ascii="Times New Roman" w:cs="Times New Roman" w:eastAsia="Times New Roman" w:hAnsi="Times New Roman"/>
            <w:sz w:val="18"/>
            <w:szCs w:val="18"/>
            <w:u w:val="single" w:color="auto"/>
            <w:color w:val="0000FF"/>
          </w:rPr>
          <w:t xml:space="preserve">Exclusive Option Contract dated November 1, 2023, among Beijing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4.2 to the annual report on Form 20-F (File No. 001-38833)</w:t>
      </w:r>
      <w:r>
        <w:rPr>
          <w:rFonts w:ascii="Times New Roman" w:cs="Times New Roman" w:eastAsia="Times New Roman" w:hAnsi="Times New Roman"/>
          <w:sz w:val="18"/>
          <w:szCs w:val="18"/>
          <w:u w:val="single" w:color="auto"/>
          <w:color w:val="0000FF"/>
        </w:rPr>
        <w:t xml:space="preserve"> </w:t>
      </w:r>
      <w:hyperlink r:id="rId413">
        <w:r>
          <w:rPr>
            <w:rFonts w:ascii="Times New Roman" w:cs="Times New Roman" w:eastAsia="Times New Roman" w:hAnsi="Times New Roman"/>
            <w:sz w:val="18"/>
            <w:szCs w:val="18"/>
            <w:u w:val="single" w:color="auto"/>
            <w:color w:val="0000FF"/>
          </w:rPr>
          <w:t>Bohu, Beijing Rongke and each shareholder of Beijing Rongke,</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with the SEC on April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-161925</wp:posOffset>
            </wp:positionV>
            <wp:extent cx="312420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4">
                      <a:extLst>
                        <a:ext uri="{28A0092B-C50C-407E-A947-70E740481C1C}"/>
                      </a:extLst>
                    </a:blip>
                    <a:srcRect/>
                    <a:stretch>
                      <a:fillRect/>
                    </a:stretch>
                  </pic:blipFill>
                  <pic:spPr bwMode="auto">
                    <a:xfrm>
                      <a:off x="0" y="0"/>
                      <a:ext cx="312420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-24765</wp:posOffset>
            </wp:positionV>
            <wp:extent cx="29476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5">
                      <a:extLst>
                        <a:ext uri="{28A0092B-C50C-407E-A947-70E740481C1C}"/>
                      </a:extLst>
                    </a:blip>
                    <a:srcRect/>
                    <a:stretch>
                      <a:fillRect/>
                    </a:stretch>
                  </pic:blipFill>
                  <pic:spPr bwMode="auto">
                    <a:xfrm>
                      <a:off x="0" y="0"/>
                      <a:ext cx="2947670" cy="8255"/>
                    </a:xfrm>
                    <a:prstGeom prst="rect">
                      <a:avLst/>
                    </a:prstGeom>
                    <a:noFill/>
                  </pic:spPr>
                </pic:pic>
              </a:graphicData>
            </a:graphic>
          </wp:anchor>
        </w:drawing>
      </w:r>
    </w:p>
    <w:p>
      <w:pPr>
        <w:ind w:left="1420"/>
        <w:spacing w:after="0"/>
        <w:rPr>
          <w:rFonts w:ascii="Times New Roman" w:cs="Times New Roman" w:eastAsia="Times New Roman" w:hAnsi="Times New Roman"/>
          <w:sz w:val="18"/>
          <w:szCs w:val="18"/>
          <w:u w:val="single" w:color="auto"/>
          <w:color w:val="0000FF"/>
        </w:rPr>
      </w:pPr>
      <w:hyperlink r:id="rId413">
        <w:r>
          <w:rPr>
            <w:rFonts w:ascii="Times New Roman" w:cs="Times New Roman" w:eastAsia="Times New Roman" w:hAnsi="Times New Roman"/>
            <w:sz w:val="18"/>
            <w:szCs w:val="18"/>
            <w:u w:val="single" w:color="auto"/>
            <w:color w:val="0000FF"/>
          </w:rPr>
          <w:t>which replaced and superseded the version dated October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-19050</wp:posOffset>
            </wp:positionV>
            <wp:extent cx="30581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6">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p>
      <w:pPr>
        <w:spacing w:after="0" w:line="207" w:lineRule="exact"/>
        <w:rPr>
          <w:sz w:val="20"/>
          <w:szCs w:val="20"/>
          <w:color w:val="auto"/>
        </w:rPr>
      </w:pPr>
    </w:p>
    <w:p>
      <w:pPr>
        <w:ind w:left="1420" w:hanging="488"/>
        <w:spacing w:after="0" w:line="266"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417">
        <w:r>
          <w:rPr>
            <w:rFonts w:ascii="Times New Roman" w:cs="Times New Roman" w:eastAsia="Times New Roman" w:hAnsi="Times New Roman"/>
            <w:sz w:val="18"/>
            <w:szCs w:val="18"/>
            <w:u w:val="single" w:color="auto"/>
            <w:color w:val="0000FF"/>
          </w:rPr>
          <w:t>Equity Pledge Contract dated November 1, 2023 among Beijing</w:t>
        </w:r>
      </w:hyperlink>
      <w:r>
        <w:rPr>
          <w:rFonts w:ascii="Times New Roman" w:cs="Times New Roman" w:eastAsia="Times New Roman" w:hAnsi="Times New Roman"/>
          <w:sz w:val="18"/>
          <w:szCs w:val="18"/>
          <w:u w:val="single" w:color="auto"/>
          <w:color w:val="0000FF"/>
        </w:rPr>
        <w:t xml:space="preserve"> </w:t>
      </w:r>
      <w:hyperlink r:id="rId417">
        <w:r>
          <w:rPr>
            <w:rFonts w:ascii="Times New Roman" w:cs="Times New Roman" w:eastAsia="Times New Roman" w:hAnsi="Times New Roman"/>
            <w:sz w:val="18"/>
            <w:szCs w:val="18"/>
            <w:u w:val="single" w:color="auto"/>
            <w:color w:val="0000FF"/>
          </w:rPr>
          <w:t>Bohu, Beijing Rongke and each shareholder of Beijing Rongke,</w:t>
        </w:r>
      </w:hyperlink>
      <w:r>
        <w:rPr>
          <w:rFonts w:ascii="Times New Roman" w:cs="Times New Roman" w:eastAsia="Times New Roman" w:hAnsi="Times New Roman"/>
          <w:sz w:val="18"/>
          <w:szCs w:val="18"/>
          <w:u w:val="single" w:color="auto"/>
          <w:color w:val="0000FF"/>
        </w:rPr>
        <w:t xml:space="preserve"> </w:t>
      </w:r>
      <w:hyperlink r:id="rId417">
        <w:r>
          <w:rPr>
            <w:rFonts w:ascii="Times New Roman" w:cs="Times New Roman" w:eastAsia="Times New Roman" w:hAnsi="Times New Roman"/>
            <w:sz w:val="18"/>
            <w:szCs w:val="18"/>
            <w:u w:val="single" w:color="auto"/>
            <w:color w:val="0000FF"/>
          </w:rPr>
          <w:t>which replaced and superseded the version dated October 11,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899160</wp:posOffset>
            </wp:positionH>
            <wp:positionV relativeFrom="paragraph">
              <wp:posOffset>-313055</wp:posOffset>
            </wp:positionV>
            <wp:extent cx="295719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8">
                      <a:extLst>
                        <a:ext uri="{28A0092B-C50C-407E-A947-70E740481C1C}"/>
                      </a:extLst>
                    </a:blip>
                    <a:srcRect/>
                    <a:stretch>
                      <a:fillRect/>
                    </a:stretch>
                  </pic:blipFill>
                  <pic:spPr bwMode="auto">
                    <a:xfrm>
                      <a:off x="0" y="0"/>
                      <a:ext cx="2957195"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-175895</wp:posOffset>
            </wp:positionV>
            <wp:extent cx="294767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9">
                      <a:extLst>
                        <a:ext uri="{28A0092B-C50C-407E-A947-70E740481C1C}"/>
                      </a:extLst>
                    </a:blip>
                    <a:srcRect/>
                    <a:stretch>
                      <a:fillRect/>
                    </a:stretch>
                  </pic:blipFill>
                  <pic:spPr bwMode="auto">
                    <a:xfrm>
                      <a:off x="0" y="0"/>
                      <a:ext cx="294767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-38735</wp:posOffset>
            </wp:positionV>
            <wp:extent cx="30581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0">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87" w:lineRule="exact"/>
        <w:rPr>
          <w:rFonts w:ascii="Times New Roman" w:cs="Times New Roman" w:eastAsia="Times New Roman" w:hAnsi="Times New Roman"/>
          <w:sz w:val="18"/>
          <w:szCs w:val="18"/>
          <w:u w:val="single" w:color="auto"/>
          <w:color w:val="0000FF"/>
        </w:rPr>
      </w:pPr>
    </w:p>
    <w:p>
      <w:pPr>
        <w:spacing w:after="0" w:line="282" w:lineRule="auto"/>
        <w:rPr>
          <w:sz w:val="20"/>
          <w:szCs w:val="20"/>
          <w:color w:val="auto"/>
        </w:rPr>
      </w:pPr>
      <w:r>
        <w:rPr>
          <w:rFonts w:ascii="Times New Roman" w:cs="Times New Roman" w:eastAsia="Times New Roman" w:hAnsi="Times New Roman"/>
          <w:sz w:val="18"/>
          <w:szCs w:val="18"/>
          <w:color w:val="auto"/>
        </w:rPr>
        <w:t>Exhibit 4.2 to the annual report on Form 20-F (File No. 001-38833) filed with the SEC on April 22, 2024</w:t>
      </w:r>
    </w:p>
    <w:p>
      <w:pPr>
        <w:spacing w:after="0" w:line="377"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40" w:space="100"/>
            <w:col w:w="4880"/>
          </w:cols>
          <w:pgMar w:left="320" w:top="769" w:right="359" w:bottom="1440" w:gutter="0" w:footer="0" w:header="0"/>
          <w:type w:val="continuous"/>
        </w:sectPr>
      </w:pPr>
    </w:p>
    <w:p>
      <w:pPr>
        <w:jc w:val="center"/>
        <w:ind w:left="920"/>
        <w:spacing w:after="0"/>
        <w:tabs>
          <w:tab w:leader="none" w:pos="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4.4†</w:t>
      </w:r>
      <w:r>
        <w:rPr>
          <w:sz w:val="20"/>
          <w:szCs w:val="20"/>
          <w:color w:val="auto"/>
        </w:rPr>
        <w:tab/>
      </w:r>
      <w:hyperlink r:id="rId421">
        <w:r>
          <w:rPr>
            <w:rFonts w:ascii="Times New Roman" w:cs="Times New Roman" w:eastAsia="Times New Roman" w:hAnsi="Times New Roman"/>
            <w:sz w:val="17"/>
            <w:szCs w:val="17"/>
            <w:u w:val="single" w:color="auto"/>
            <w:color w:val="0000FF"/>
          </w:rPr>
          <w:t>English translation of Powers of Attorney dated November 1,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899160</wp:posOffset>
            </wp:positionH>
            <wp:positionV relativeFrom="paragraph">
              <wp:posOffset>-7620</wp:posOffset>
            </wp:positionV>
            <wp:extent cx="30937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2">
                      <a:extLst>
                        <a:ext uri="{28A0092B-C50C-407E-A947-70E740481C1C}"/>
                      </a:extLst>
                    </a:blip>
                    <a:srcRect/>
                    <a:stretch>
                      <a:fillRect/>
                    </a:stretch>
                  </pic:blipFill>
                  <pic:spPr bwMode="auto">
                    <a:xfrm>
                      <a:off x="0" y="0"/>
                      <a:ext cx="3093720"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ind w:left="1420" w:right="40"/>
        <w:spacing w:after="0" w:line="255" w:lineRule="auto"/>
        <w:rPr>
          <w:rFonts w:ascii="Times New Roman" w:cs="Times New Roman" w:eastAsia="Times New Roman" w:hAnsi="Times New Roman"/>
          <w:sz w:val="18"/>
          <w:szCs w:val="18"/>
          <w:u w:val="single" w:color="auto"/>
          <w:color w:val="0000FF"/>
        </w:rPr>
      </w:pPr>
      <w:hyperlink r:id="rId421">
        <w:r>
          <w:rPr>
            <w:rFonts w:ascii="Times New Roman" w:cs="Times New Roman" w:eastAsia="Times New Roman" w:hAnsi="Times New Roman"/>
            <w:sz w:val="18"/>
            <w:szCs w:val="18"/>
            <w:u w:val="single" w:color="auto"/>
            <w:color w:val="0000FF"/>
          </w:rPr>
          <w:t>among Beijing Bohu and each of the shareholders of Beijing</w:t>
        </w:r>
      </w:hyperlink>
      <w:r>
        <w:rPr>
          <w:rFonts w:ascii="Times New Roman" w:cs="Times New Roman" w:eastAsia="Times New Roman" w:hAnsi="Times New Roman"/>
          <w:sz w:val="18"/>
          <w:szCs w:val="18"/>
          <w:u w:val="single" w:color="auto"/>
          <w:color w:val="0000FF"/>
        </w:rPr>
        <w:t xml:space="preserve"> </w:t>
      </w:r>
      <w:hyperlink r:id="rId421">
        <w:r>
          <w:rPr>
            <w:rFonts w:ascii="Times New Roman" w:cs="Times New Roman" w:eastAsia="Times New Roman" w:hAnsi="Times New Roman"/>
            <w:sz w:val="18"/>
            <w:szCs w:val="18"/>
            <w:u w:val="single" w:color="auto"/>
            <w:color w:val="0000FF"/>
          </w:rPr>
          <w:t>Rongke, which replaced and superseded the version dated October</w:t>
        </w:r>
      </w:hyperlink>
      <w:r>
        <w:rPr>
          <w:rFonts w:ascii="Times New Roman" w:cs="Times New Roman" w:eastAsia="Times New Roman" w:hAnsi="Times New Roman"/>
          <w:sz w:val="18"/>
          <w:szCs w:val="18"/>
          <w:u w:val="single" w:color="auto"/>
          <w:color w:val="0000FF"/>
        </w:rPr>
        <w:t xml:space="preserve"> </w:t>
      </w:r>
      <w:hyperlink r:id="rId421">
        <w:r>
          <w:rPr>
            <w:rFonts w:ascii="Times New Roman" w:cs="Times New Roman" w:eastAsia="Times New Roman" w:hAnsi="Times New Roman"/>
            <w:sz w:val="18"/>
            <w:szCs w:val="18"/>
            <w:u w:val="single" w:color="auto"/>
            <w:color w:val="0000FF"/>
          </w:rPr>
          <w:t>11, 2022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899160</wp:posOffset>
            </wp:positionH>
            <wp:positionV relativeFrom="paragraph">
              <wp:posOffset>-306705</wp:posOffset>
            </wp:positionV>
            <wp:extent cx="279844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3">
                      <a:extLst>
                        <a:ext uri="{28A0092B-C50C-407E-A947-70E740481C1C}"/>
                      </a:extLst>
                    </a:blip>
                    <a:srcRect/>
                    <a:stretch>
                      <a:fillRect/>
                    </a:stretch>
                  </pic:blipFill>
                  <pic:spPr bwMode="auto">
                    <a:xfrm>
                      <a:off x="0" y="0"/>
                      <a:ext cx="2798445"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-169545</wp:posOffset>
            </wp:positionV>
            <wp:extent cx="30708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4">
                      <a:extLst>
                        <a:ext uri="{28A0092B-C50C-407E-A947-70E740481C1C}"/>
                      </a:extLst>
                    </a:blip>
                    <a:srcRect/>
                    <a:stretch>
                      <a:fillRect/>
                    </a:stretch>
                  </pic:blipFill>
                  <pic:spPr bwMode="auto">
                    <a:xfrm>
                      <a:off x="0" y="0"/>
                      <a:ext cx="307086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-32385</wp:posOffset>
            </wp:positionV>
            <wp:extent cx="40005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5">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Exhibit 4.2 to the annual report on Form 20-F (File No. 001-38833) filed with the SEC on April 22, 2024</w:t>
      </w:r>
    </w:p>
    <w:p>
      <w:pPr>
        <w:spacing w:after="0" w:line="593"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40" w:space="100"/>
            <w:col w:w="4880"/>
          </w:cols>
          <w:pgMar w:left="320" w:top="769" w:right="359" w:bottom="1440" w:gutter="0" w:footer="0" w:header="0"/>
          <w:type w:val="continuous"/>
        </w:sectPr>
      </w:pPr>
    </w:p>
    <w:p>
      <w:pPr>
        <w:ind w:left="1420" w:hanging="488"/>
        <w:spacing w:after="0" w:line="282"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w:t>
      </w:r>
      <w:r>
        <w:rPr>
          <w:sz w:val="20"/>
          <w:szCs w:val="20"/>
          <w:color w:val="auto"/>
        </w:rPr>
        <w:tab/>
      </w:r>
      <w:hyperlink r:id="rId426">
        <w:r>
          <w:rPr>
            <w:rFonts w:ascii="Times New Roman" w:cs="Times New Roman" w:eastAsia="Times New Roman" w:hAnsi="Times New Roman"/>
            <w:sz w:val="18"/>
            <w:szCs w:val="18"/>
            <w:u w:val="single" w:color="auto"/>
            <w:color w:val="0000FF"/>
          </w:rPr>
          <w:t>English translation of the form of Spouse Consent Letter by the</w:t>
        </w:r>
      </w:hyperlink>
      <w:r>
        <w:rPr>
          <w:rFonts w:ascii="Times New Roman" w:cs="Times New Roman" w:eastAsia="Times New Roman" w:hAnsi="Times New Roman"/>
          <w:sz w:val="18"/>
          <w:szCs w:val="18"/>
          <w:u w:val="single" w:color="auto"/>
          <w:color w:val="0000FF"/>
        </w:rPr>
        <w:t xml:space="preserve"> </w:t>
      </w:r>
      <w:hyperlink r:id="rId426">
        <w:r>
          <w:rPr>
            <w:rFonts w:ascii="Times New Roman" w:cs="Times New Roman" w:eastAsia="Times New Roman" w:hAnsi="Times New Roman"/>
            <w:sz w:val="18"/>
            <w:szCs w:val="18"/>
            <w:u w:val="single" w:color="auto"/>
            <w:color w:val="0000FF"/>
          </w:rPr>
          <w:t>spouse of each married shareholder of Beijing Rongke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-185420</wp:posOffset>
            </wp:positionV>
            <wp:extent cx="29286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7">
                      <a:extLst>
                        <a:ext uri="{28A0092B-C50C-407E-A947-70E740481C1C}"/>
                      </a:extLst>
                    </a:blip>
                    <a:srcRect/>
                    <a:stretch>
                      <a:fillRect/>
                    </a:stretch>
                  </pic:blipFill>
                  <pic:spPr bwMode="auto">
                    <a:xfrm>
                      <a:off x="0" y="0"/>
                      <a:ext cx="292862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-48260</wp:posOffset>
            </wp:positionV>
            <wp:extent cx="24904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8">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66" w:lineRule="auto"/>
        <w:rPr>
          <w:sz w:val="20"/>
          <w:szCs w:val="20"/>
          <w:color w:val="auto"/>
        </w:rPr>
      </w:pPr>
      <w:r>
        <w:rPr>
          <w:rFonts w:ascii="Times New Roman" w:cs="Times New Roman" w:eastAsia="Times New Roman" w:hAnsi="Times New Roman"/>
          <w:sz w:val="18"/>
          <w:szCs w:val="18"/>
          <w:color w:val="auto"/>
        </w:rPr>
        <w:t>Exhibit 10.5 to the registration statement on Form F-1 (File No. 333-229808), as amended, initially filed with the SEC on February 22, 2019)</w:t>
      </w:r>
    </w:p>
    <w:p>
      <w:pPr>
        <w:spacing w:after="0" w:line="176" w:lineRule="exact"/>
        <w:rPr>
          <w:sz w:val="20"/>
          <w:szCs w:val="20"/>
          <w:color w:val="auto"/>
        </w:rPr>
      </w:pPr>
    </w:p>
    <w:p>
      <w:pPr>
        <w:sectPr>
          <w:pgSz w:w="11900" w:h="16838" w:orient="portrait"/>
          <w:cols w:equalWidth="0" w:num="2">
            <w:col w:w="5980" w:space="360"/>
            <w:col w:w="4880"/>
          </w:cols>
          <w:pgMar w:left="320" w:top="769" w:right="359" w:bottom="1440" w:gutter="0" w:footer="0" w:header="0"/>
          <w:type w:val="continuous"/>
        </w:sectPr>
      </w:pPr>
    </w:p>
    <w:p>
      <w:pPr>
        <w:ind w:left="1420" w:hanging="488"/>
        <w:spacing w:after="0" w:line="312"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4.6†</w:t>
      </w:r>
      <w:r>
        <w:rPr>
          <w:sz w:val="20"/>
          <w:szCs w:val="20"/>
          <w:color w:val="auto"/>
        </w:rPr>
        <w:tab/>
      </w:r>
      <w:hyperlink r:id="rId429">
        <w:r>
          <w:rPr>
            <w:rFonts w:ascii="Times New Roman" w:cs="Times New Roman" w:eastAsia="Times New Roman" w:hAnsi="Times New Roman"/>
            <w:sz w:val="17"/>
            <w:szCs w:val="17"/>
            <w:u w:val="single" w:color="auto"/>
            <w:color w:val="0000FF"/>
          </w:rPr>
          <w:t>English translation of Exclusive Business Cooperation Agreement</w:t>
        </w:r>
      </w:hyperlink>
      <w:r>
        <w:rPr>
          <w:rFonts w:ascii="Times New Roman" w:cs="Times New Roman" w:eastAsia="Times New Roman" w:hAnsi="Times New Roman"/>
          <w:sz w:val="17"/>
          <w:szCs w:val="17"/>
          <w:u w:val="single" w:color="auto"/>
          <w:color w:val="0000FF"/>
        </w:rPr>
        <w:t xml:space="preserve"> </w:t>
      </w:r>
      <w:hyperlink r:id="rId429">
        <w:r>
          <w:rPr>
            <w:rFonts w:ascii="Times New Roman" w:cs="Times New Roman" w:eastAsia="Times New Roman" w:hAnsi="Times New Roman"/>
            <w:sz w:val="17"/>
            <w:szCs w:val="17"/>
            <w:u w:val="single" w:color="auto"/>
            <w:color w:val="0000FF"/>
          </w:rPr>
          <w:t>between Beijing Yixin and Beijing Yiyi dated October 30,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-198755</wp:posOffset>
            </wp:positionV>
            <wp:extent cx="305562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0">
                      <a:extLst>
                        <a:ext uri="{28A0092B-C50C-407E-A947-70E740481C1C}"/>
                      </a:extLst>
                    </a:blip>
                    <a:srcRect/>
                    <a:stretch>
                      <a:fillRect/>
                    </a:stretch>
                  </pic:blipFill>
                  <pic:spPr bwMode="auto">
                    <a:xfrm>
                      <a:off x="0" y="0"/>
                      <a:ext cx="305562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-61595</wp:posOffset>
            </wp:positionV>
            <wp:extent cx="292544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1">
                      <a:extLst>
                        <a:ext uri="{28A0092B-C50C-407E-A947-70E740481C1C}"/>
                      </a:extLst>
                    </a:blip>
                    <a:srcRect/>
                    <a:stretch>
                      <a:fillRect/>
                    </a:stretch>
                  </pic:blipFill>
                  <pic:spPr bwMode="auto">
                    <a:xfrm>
                      <a:off x="0" y="0"/>
                      <a:ext cx="29254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66" w:lineRule="auto"/>
        <w:rPr>
          <w:sz w:val="20"/>
          <w:szCs w:val="20"/>
          <w:color w:val="auto"/>
        </w:rPr>
      </w:pPr>
      <w:r>
        <w:rPr>
          <w:rFonts w:ascii="Times New Roman" w:cs="Times New Roman" w:eastAsia="Times New Roman" w:hAnsi="Times New Roman"/>
          <w:sz w:val="18"/>
          <w:szCs w:val="18"/>
          <w:color w:val="auto"/>
        </w:rPr>
        <w:t>Exhibit 10.6 to the registration statement on Form F-1 (File No. 333-229808), as amended, initially filed with the SEC on February 22, 2019)</w:t>
      </w:r>
    </w:p>
    <w:p>
      <w:pPr>
        <w:spacing w:after="0" w:line="176" w:lineRule="exact"/>
        <w:rPr>
          <w:sz w:val="20"/>
          <w:szCs w:val="20"/>
          <w:color w:val="auto"/>
        </w:rPr>
      </w:pPr>
    </w:p>
    <w:p>
      <w:pPr>
        <w:sectPr>
          <w:pgSz w:w="11900" w:h="16838" w:orient="portrait"/>
          <w:cols w:equalWidth="0" w:num="2">
            <w:col w:w="6180" w:space="160"/>
            <w:col w:w="4880"/>
          </w:cols>
          <w:pgMar w:left="320" w:top="769" w:right="359" w:bottom="1440" w:gutter="0" w:footer="0" w:header="0"/>
          <w:type w:val="continuous"/>
        </w:sectPr>
      </w:pPr>
    </w:p>
    <w:p>
      <w:pPr>
        <w:ind w:left="1420" w:hanging="488"/>
        <w:spacing w:after="0" w:line="266"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4.7†</w:t>
      </w:r>
      <w:r>
        <w:rPr>
          <w:sz w:val="20"/>
          <w:szCs w:val="20"/>
          <w:color w:val="auto"/>
        </w:rPr>
        <w:tab/>
      </w:r>
      <w:hyperlink r:id="rId432">
        <w:r>
          <w:rPr>
            <w:rFonts w:ascii="Times New Roman" w:cs="Times New Roman" w:eastAsia="Times New Roman" w:hAnsi="Times New Roman"/>
            <w:sz w:val="18"/>
            <w:szCs w:val="18"/>
            <w:u w:val="single" w:color="auto"/>
            <w:color w:val="0000FF"/>
          </w:rPr>
          <w:t>English translation of Exclusive Option Contract among Beijing</w:t>
        </w:r>
      </w:hyperlink>
      <w:r>
        <w:rPr>
          <w:rFonts w:ascii="Times New Roman" w:cs="Times New Roman" w:eastAsia="Times New Roman" w:hAnsi="Times New Roman"/>
          <w:sz w:val="18"/>
          <w:szCs w:val="18"/>
          <w:u w:val="single" w:color="auto"/>
          <w:color w:val="0000FF"/>
        </w:rPr>
        <w:t xml:space="preserve"> </w:t>
      </w:r>
      <w:hyperlink r:id="rId432">
        <w:r>
          <w:rPr>
            <w:rFonts w:ascii="Times New Roman" w:cs="Times New Roman" w:eastAsia="Times New Roman" w:hAnsi="Times New Roman"/>
            <w:sz w:val="18"/>
            <w:szCs w:val="18"/>
            <w:u w:val="single" w:color="auto"/>
            <w:color w:val="0000FF"/>
          </w:rPr>
          <w:t>Yixin, shareholders of Beijing Yiyi and Beijing Yiyi dated October</w:t>
        </w:r>
      </w:hyperlink>
      <w:r>
        <w:rPr>
          <w:rFonts w:ascii="Times New Roman" w:cs="Times New Roman" w:eastAsia="Times New Roman" w:hAnsi="Times New Roman"/>
          <w:sz w:val="18"/>
          <w:szCs w:val="18"/>
          <w:u w:val="single" w:color="auto"/>
          <w:color w:val="0000FF"/>
        </w:rPr>
        <w:t xml:space="preserve"> </w:t>
      </w:r>
      <w:hyperlink r:id="rId432">
        <w:r>
          <w:rPr>
            <w:rFonts w:ascii="Times New Roman" w:cs="Times New Roman" w:eastAsia="Times New Roman" w:hAnsi="Times New Roman"/>
            <w:sz w:val="18"/>
            <w:szCs w:val="18"/>
            <w:u w:val="single" w:color="auto"/>
            <w:color w:val="0000FF"/>
          </w:rPr>
          <w:t>30, 2018</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899160</wp:posOffset>
            </wp:positionH>
            <wp:positionV relativeFrom="paragraph">
              <wp:posOffset>-313055</wp:posOffset>
            </wp:positionV>
            <wp:extent cx="296354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3">
                      <a:extLst>
                        <a:ext uri="{28A0092B-C50C-407E-A947-70E740481C1C}"/>
                      </a:extLst>
                    </a:blip>
                    <a:srcRect/>
                    <a:stretch>
                      <a:fillRect/>
                    </a:stretch>
                  </pic:blipFill>
                  <pic:spPr bwMode="auto">
                    <a:xfrm>
                      <a:off x="0" y="0"/>
                      <a:ext cx="2963545"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-175895</wp:posOffset>
            </wp:positionV>
            <wp:extent cx="31064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4">
                      <a:extLst>
                        <a:ext uri="{28A0092B-C50C-407E-A947-70E740481C1C}"/>
                      </a:extLst>
                    </a:blip>
                    <a:srcRect/>
                    <a:stretch>
                      <a:fillRect/>
                    </a:stretch>
                  </pic:blipFill>
                  <pic:spPr bwMode="auto">
                    <a:xfrm>
                      <a:off x="0" y="0"/>
                      <a:ext cx="310642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-38735</wp:posOffset>
            </wp:positionV>
            <wp:extent cx="40005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5">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60"/>
        <w:spacing w:after="0" w:line="266" w:lineRule="auto"/>
        <w:rPr>
          <w:sz w:val="20"/>
          <w:szCs w:val="20"/>
          <w:color w:val="auto"/>
        </w:rPr>
      </w:pPr>
      <w:r>
        <w:rPr>
          <w:rFonts w:ascii="Times New Roman" w:cs="Times New Roman" w:eastAsia="Times New Roman" w:hAnsi="Times New Roman"/>
          <w:sz w:val="18"/>
          <w:szCs w:val="18"/>
          <w:color w:val="auto"/>
        </w:rPr>
        <w:t>Exhibit 10.7 to the registration statement on Form F-1 (File No. 333-229808), as amended, initially filed with the SEC on February 22, 2019)</w:t>
      </w:r>
    </w:p>
    <w:p>
      <w:pPr>
        <w:spacing w:after="0" w:line="176"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60" w:space="80"/>
            <w:col w:w="4880"/>
          </w:cols>
          <w:pgMar w:left="320" w:top="769" w:right="359" w:bottom="1440" w:gutter="0" w:footer="0" w:header="0"/>
          <w:type w:val="continuous"/>
        </w:sectPr>
      </w:pPr>
    </w:p>
    <w:p>
      <w:pPr>
        <w:ind w:left="920"/>
        <w:spacing w:after="0"/>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4.8†</w:t>
      </w:r>
      <w:r>
        <w:rPr>
          <w:sz w:val="20"/>
          <w:szCs w:val="20"/>
          <w:color w:val="auto"/>
        </w:rPr>
        <w:tab/>
      </w:r>
      <w:hyperlink r:id="rId436">
        <w:r>
          <w:rPr>
            <w:rFonts w:ascii="Times New Roman" w:cs="Times New Roman" w:eastAsia="Times New Roman" w:hAnsi="Times New Roman"/>
            <w:sz w:val="17"/>
            <w:szCs w:val="17"/>
            <w:u w:val="single" w:color="auto"/>
            <w:color w:val="0000FF"/>
          </w:rPr>
          <w:t xml:space="preserve">English translation of Equity Pledge Contract among Beijing Yixin, </w:t>
        </w:r>
      </w:hyperlink>
      <w:r>
        <w:rPr>
          <w:rFonts w:ascii="Times New Roman" w:cs="Times New Roman" w:eastAsia="Times New Roman" w:hAnsi="Times New Roman"/>
          <w:sz w:val="17"/>
          <w:szCs w:val="17"/>
          <w:color w:val="000000"/>
        </w:rPr>
        <w:t>Exhibit</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10.8 to the registration statement on Form F-1 (File No.</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899160</wp:posOffset>
            </wp:positionH>
            <wp:positionV relativeFrom="paragraph">
              <wp:posOffset>-7620</wp:posOffset>
            </wp:positionV>
            <wp:extent cx="31242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7">
                      <a:extLst>
                        <a:ext uri="{28A0092B-C50C-407E-A947-70E740481C1C}"/>
                      </a:extLst>
                    </a:blip>
                    <a:srcRect/>
                    <a:stretch>
                      <a:fillRect/>
                    </a:stretch>
                  </pic:blipFill>
                  <pic:spPr bwMode="auto">
                    <a:xfrm>
                      <a:off x="0" y="0"/>
                      <a:ext cx="3124200" cy="8255"/>
                    </a:xfrm>
                    <a:prstGeom prst="rect">
                      <a:avLst/>
                    </a:prstGeom>
                    <a:noFill/>
                  </pic:spPr>
                </pic:pic>
              </a:graphicData>
            </a:graphic>
          </wp:anchor>
        </w:drawing>
      </w:r>
    </w:p>
    <w:tbl>
      <w:tblPr>
        <w:tblLayout w:type="fixed"/>
        <w:tblInd w:w="1420" w:type="dxa"/>
        <w:tblCellMar>
          <w:top w:w="0" w:type="dxa"/>
          <w:left w:w="0" w:type="dxa"/>
          <w:bottom w:w="0" w:type="dxa"/>
          <w:right w:w="0" w:type="dxa"/>
        </w:tblCellMar>
      </w:tblPr>
      <w:tr>
        <w:trPr>
          <w:trHeight w:val="203"/>
        </w:trPr>
        <w:tc>
          <w:tcPr>
            <w:tcW w:w="4660" w:type="dxa"/>
            <w:vAlign w:val="bottom"/>
            <w:tcBorders>
              <w:bottom w:val="single" w:sz="8" w:color="0000FF"/>
            </w:tcBorders>
            <w:gridSpan w:val="2"/>
          </w:tcPr>
          <w:p>
            <w:pPr>
              <w:spacing w:after="0" w:line="203" w:lineRule="exact"/>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shareholders of Beijing Yiyi and Beijing Yiyi dated October 30,</w:t>
              </w:r>
            </w:hyperlink>
          </w:p>
        </w:tc>
        <w:tc>
          <w:tcPr>
            <w:tcW w:w="5080" w:type="dxa"/>
            <w:vAlign w:val="bottom"/>
          </w:tcPr>
          <w:p>
            <w:pPr>
              <w:ind w:left="260"/>
              <w:spacing w:after="0" w:line="203" w:lineRule="exact"/>
              <w:rPr>
                <w:sz w:val="20"/>
                <w:szCs w:val="20"/>
                <w:color w:val="auto"/>
              </w:rPr>
            </w:pPr>
            <w:r>
              <w:rPr>
                <w:rFonts w:ascii="Times New Roman" w:cs="Times New Roman" w:eastAsia="Times New Roman" w:hAnsi="Times New Roman"/>
                <w:sz w:val="18"/>
                <w:szCs w:val="18"/>
                <w:color w:val="auto"/>
                <w:w w:val="99"/>
              </w:rPr>
              <w:t>333-229808), as amended, initially filed with the SEC on February</w:t>
            </w:r>
          </w:p>
        </w:tc>
      </w:tr>
      <w:tr>
        <w:trPr>
          <w:trHeight w:val="196"/>
        </w:trPr>
        <w:tc>
          <w:tcPr>
            <w:tcW w:w="3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436">
              <w:r>
                <w:rPr>
                  <w:rFonts w:ascii="Times New Roman" w:cs="Times New Roman" w:eastAsia="Times New Roman" w:hAnsi="Times New Roman"/>
                  <w:sz w:val="18"/>
                  <w:szCs w:val="18"/>
                  <w:color w:val="0000FF"/>
                  <w:w w:val="94"/>
                </w:rPr>
                <w:t>2018</w:t>
              </w:r>
            </w:hyperlink>
          </w:p>
        </w:tc>
        <w:tc>
          <w:tcPr>
            <w:tcW w:w="4300" w:type="dxa"/>
            <w:vAlign w:val="bottom"/>
          </w:tcPr>
          <w:p>
            <w:pPr>
              <w:spacing w:after="0"/>
              <w:rPr>
                <w:sz w:val="17"/>
                <w:szCs w:val="17"/>
                <w:color w:val="auto"/>
              </w:rPr>
            </w:pPr>
          </w:p>
        </w:tc>
        <w:tc>
          <w:tcPr>
            <w:tcW w:w="508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22, 2019)</w:t>
            </w:r>
          </w:p>
        </w:tc>
      </w:tr>
    </w:tbl>
    <w:p>
      <w:pPr>
        <w:spacing w:after="0" w:line="225" w:lineRule="exact"/>
        <w:rPr>
          <w:sz w:val="20"/>
          <w:szCs w:val="20"/>
          <w:color w:val="auto"/>
        </w:rPr>
      </w:pPr>
    </w:p>
    <w:p>
      <w:pPr>
        <w:ind w:left="920"/>
        <w:spacing w:after="0"/>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4.9†</w:t>
      </w:r>
      <w:r>
        <w:rPr>
          <w:sz w:val="20"/>
          <w:szCs w:val="20"/>
          <w:color w:val="auto"/>
        </w:rPr>
        <w:tab/>
      </w:r>
      <w:hyperlink r:id="rId438">
        <w:r>
          <w:rPr>
            <w:rFonts w:ascii="Times New Roman" w:cs="Times New Roman" w:eastAsia="Times New Roman" w:hAnsi="Times New Roman"/>
            <w:sz w:val="17"/>
            <w:szCs w:val="17"/>
            <w:u w:val="single" w:color="auto"/>
            <w:color w:val="0000FF"/>
          </w:rPr>
          <w:t xml:space="preserve">English translation of the Power of Attorney between Beijing Yixin </w:t>
        </w:r>
      </w:hyperlink>
      <w:r>
        <w:rPr>
          <w:rFonts w:ascii="Times New Roman" w:cs="Times New Roman" w:eastAsia="Times New Roman" w:hAnsi="Times New Roman"/>
          <w:sz w:val="17"/>
          <w:szCs w:val="17"/>
          <w:color w:val="000000"/>
        </w:rPr>
        <w:t>Exhibit</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10.9 to the registration statement on Form F-1 (File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-7620</wp:posOffset>
            </wp:positionV>
            <wp:extent cx="312229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9">
                      <a:extLst>
                        <a:ext uri="{28A0092B-C50C-407E-A947-70E740481C1C}"/>
                      </a:extLst>
                    </a:blip>
                    <a:srcRect/>
                    <a:stretch>
                      <a:fillRect/>
                    </a:stretch>
                  </pic:blipFill>
                  <pic:spPr bwMode="auto">
                    <a:xfrm>
                      <a:off x="0" y="0"/>
                      <a:ext cx="3122295" cy="8255"/>
                    </a:xfrm>
                    <a:prstGeom prst="rect">
                      <a:avLst/>
                    </a:prstGeom>
                    <a:noFill/>
                  </pic:spPr>
                </pic:pic>
              </a:graphicData>
            </a:graphic>
          </wp:anchor>
        </w:drawing>
      </w:r>
    </w:p>
    <w:p>
      <w:pPr>
        <w:spacing w:after="0" w:line="7" w:lineRule="exact"/>
        <w:rPr>
          <w:sz w:val="20"/>
          <w:szCs w:val="20"/>
          <w:color w:val="auto"/>
        </w:rPr>
      </w:pPr>
    </w:p>
    <w:p>
      <w:pPr>
        <w:jc w:val="both"/>
        <w:ind w:left="6340" w:right="60" w:hanging="4923"/>
        <w:spacing w:after="0" w:line="260" w:lineRule="auto"/>
        <w:tabs>
          <w:tab w:leader="none" w:pos="6320" w:val="left"/>
        </w:tabs>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u w:val="single" w:color="auto"/>
            <w:color w:val="0000FF"/>
          </w:rPr>
          <w:t>and shareholders of Beijing Yiyi dated October 30, 2018</w:t>
        </w:r>
      </w:hyperlink>
      <w:r>
        <w:rPr>
          <w:rFonts w:ascii="Times New Roman" w:cs="Times New Roman" w:eastAsia="Times New Roman" w:hAnsi="Times New Roman"/>
          <w:sz w:val="18"/>
          <w:szCs w:val="18"/>
          <w:color w:val="0000FF"/>
        </w:rPr>
        <w:tab/>
        <w:t>333-229808), as amended, initially filed with the SEC on February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-172720</wp:posOffset>
            </wp:positionV>
            <wp:extent cx="259207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0">
                      <a:extLst>
                        <a:ext uri="{28A0092B-C50C-407E-A947-70E740481C1C}"/>
                      </a:extLst>
                    </a:blip>
                    <a:srcRect/>
                    <a:stretch>
                      <a:fillRect/>
                    </a:stretch>
                  </pic:blipFill>
                  <pic:spPr bwMode="auto">
                    <a:xfrm>
                      <a:off x="0" y="0"/>
                      <a:ext cx="259207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p>
      <w:pPr>
        <w:spacing w:after="0" w:line="181" w:lineRule="exact"/>
        <w:rPr>
          <w:sz w:val="20"/>
          <w:szCs w:val="20"/>
          <w:color w:val="auto"/>
        </w:rPr>
      </w:pPr>
    </w:p>
    <w:p>
      <w:pPr>
        <w:ind w:left="1420" w:right="60" w:hanging="578"/>
        <w:spacing w:after="0" w:line="282"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4.10†</w:t>
      </w:r>
      <w:r>
        <w:rPr>
          <w:sz w:val="20"/>
          <w:szCs w:val="20"/>
          <w:color w:val="auto"/>
        </w:rPr>
        <w:tab/>
      </w:r>
      <w:hyperlink r:id="rId441">
        <w:r>
          <w:rPr>
            <w:rFonts w:ascii="Times New Roman" w:cs="Times New Roman" w:eastAsia="Times New Roman" w:hAnsi="Times New Roman"/>
            <w:sz w:val="18"/>
            <w:szCs w:val="18"/>
            <w:u w:val="single" w:color="auto"/>
            <w:color w:val="0000FF"/>
          </w:rPr>
          <w:t>English translation of the form of Spouse Consent Letter by the</w:t>
        </w:r>
      </w:hyperlink>
      <w:r>
        <w:rPr>
          <w:rFonts w:ascii="Times New Roman" w:cs="Times New Roman" w:eastAsia="Times New Roman" w:hAnsi="Times New Roman"/>
          <w:sz w:val="18"/>
          <w:szCs w:val="18"/>
          <w:u w:val="single" w:color="auto"/>
          <w:color w:val="0000FF"/>
        </w:rPr>
        <w:t xml:space="preserve"> </w:t>
      </w:r>
      <w:hyperlink r:id="rId441">
        <w:r>
          <w:rPr>
            <w:rFonts w:ascii="Times New Roman" w:cs="Times New Roman" w:eastAsia="Times New Roman" w:hAnsi="Times New Roman"/>
            <w:sz w:val="18"/>
            <w:szCs w:val="18"/>
            <w:u w:val="single" w:color="auto"/>
            <w:color w:val="0000FF"/>
          </w:rPr>
          <w:t>spouse of each married shareholder of Beijing Yiyi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-185420</wp:posOffset>
            </wp:positionV>
            <wp:extent cx="29286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2">
                      <a:extLst>
                        <a:ext uri="{28A0092B-C50C-407E-A947-70E740481C1C}"/>
                      </a:extLst>
                    </a:blip>
                    <a:srcRect/>
                    <a:stretch>
                      <a:fillRect/>
                    </a:stretch>
                  </pic:blipFill>
                  <pic:spPr bwMode="auto">
                    <a:xfrm>
                      <a:off x="0" y="0"/>
                      <a:ext cx="292862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-48260</wp:posOffset>
            </wp:positionV>
            <wp:extent cx="23380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3">
                      <a:extLst>
                        <a:ext uri="{28A0092B-C50C-407E-A947-70E740481C1C}"/>
                      </a:extLst>
                    </a:blip>
                    <a:srcRect/>
                    <a:stretch>
                      <a:fillRect/>
                    </a:stretch>
                  </pic:blipFill>
                  <pic:spPr bwMode="auto">
                    <a:xfrm>
                      <a:off x="0" y="0"/>
                      <a:ext cx="2338070" cy="8255"/>
                    </a:xfrm>
                    <a:prstGeom prst="rect">
                      <a:avLst/>
                    </a:prstGeom>
                    <a:noFill/>
                  </pic:spPr>
                </pic:pic>
              </a:graphicData>
            </a:graphic>
          </wp:anchor>
        </w:drawing>
      </w:r>
    </w:p>
    <w:p>
      <w:pPr>
        <w:spacing w:after="0" w:line="358" w:lineRule="exact"/>
        <w:rPr>
          <w:sz w:val="20"/>
          <w:szCs w:val="20"/>
          <w:color w:val="auto"/>
        </w:rPr>
      </w:pPr>
    </w:p>
    <w:p>
      <w:pPr>
        <w:ind w:left="1420" w:hanging="578"/>
        <w:spacing w:after="0" w:line="282"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4.11†</w:t>
      </w:r>
      <w:r>
        <w:rPr>
          <w:sz w:val="20"/>
          <w:szCs w:val="20"/>
          <w:color w:val="auto"/>
        </w:rPr>
        <w:tab/>
      </w:r>
      <w:hyperlink r:id="rId444">
        <w:r>
          <w:rPr>
            <w:rFonts w:ascii="Times New Roman" w:cs="Times New Roman" w:eastAsia="Times New Roman" w:hAnsi="Times New Roman"/>
            <w:sz w:val="18"/>
            <w:szCs w:val="18"/>
            <w:u w:val="single" w:color="auto"/>
            <w:color w:val="0000FF"/>
          </w:rPr>
          <w:t>Form of Employment Agreement between the Registrant and its</w:t>
        </w:r>
      </w:hyperlink>
      <w:r>
        <w:rPr>
          <w:rFonts w:ascii="Times New Roman" w:cs="Times New Roman" w:eastAsia="Times New Roman" w:hAnsi="Times New Roman"/>
          <w:sz w:val="18"/>
          <w:szCs w:val="18"/>
          <w:u w:val="single" w:color="auto"/>
          <w:color w:val="0000FF"/>
        </w:rPr>
        <w:t xml:space="preserve"> </w:t>
      </w:r>
      <w:hyperlink r:id="rId444">
        <w:r>
          <w:rPr>
            <w:rFonts w:ascii="Times New Roman" w:cs="Times New Roman" w:eastAsia="Times New Roman" w:hAnsi="Times New Roman"/>
            <w:sz w:val="18"/>
            <w:szCs w:val="18"/>
            <w:u w:val="single" w:color="auto"/>
            <w:color w:val="0000FF"/>
          </w:rPr>
          <w:t>executive 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-185420</wp:posOffset>
            </wp:positionV>
            <wp:extent cx="296037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5">
                      <a:extLst>
                        <a:ext uri="{28A0092B-C50C-407E-A947-70E740481C1C}"/>
                      </a:extLst>
                    </a:blip>
                    <a:srcRect/>
                    <a:stretch>
                      <a:fillRect/>
                    </a:stretch>
                  </pic:blipFill>
                  <pic:spPr bwMode="auto">
                    <a:xfrm>
                      <a:off x="0" y="0"/>
                      <a:ext cx="296037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-48260</wp:posOffset>
            </wp:positionV>
            <wp:extent cx="81534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6">
                      <a:extLst>
                        <a:ext uri="{28A0092B-C50C-407E-A947-70E740481C1C}"/>
                      </a:extLst>
                    </a:blip>
                    <a:srcRect/>
                    <a:stretch>
                      <a:fillRect/>
                    </a:stretch>
                  </pic:blipFill>
                  <pic:spPr bwMode="auto">
                    <a:xfrm>
                      <a:off x="0" y="0"/>
                      <a:ext cx="815340" cy="8890"/>
                    </a:xfrm>
                    <a:prstGeom prst="rect">
                      <a:avLst/>
                    </a:prstGeom>
                    <a:noFill/>
                  </pic:spPr>
                </pic:pic>
              </a:graphicData>
            </a:graphic>
          </wp:anchor>
        </w:drawing>
      </w:r>
    </w:p>
    <w:p>
      <w:pPr>
        <w:spacing w:after="0" w:line="358" w:lineRule="exact"/>
        <w:rPr>
          <w:sz w:val="20"/>
          <w:szCs w:val="20"/>
          <w:color w:val="auto"/>
        </w:rPr>
      </w:pPr>
    </w:p>
    <w:p>
      <w:pPr>
        <w:ind w:left="840"/>
        <w:spacing w:after="0"/>
        <w:tabs>
          <w:tab w:leader="none" w:pos="140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color w:val="auto"/>
        </w:rPr>
        <w:t>[Reserved]</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Exhibit 10.10 to the registration statement on Form F-1 (File No. 333-229808), as amended, initially filed with the SEC on February 22, 2019)</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Exhibit 10.11 to the registration statement on Form F-1 (File No. 333-229808), as amended, initially filed with the SEC on February 22,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ectPr>
          <w:pgSz w:w="11900" w:h="16838" w:orient="portrait"/>
          <w:cols w:equalWidth="0" w:num="2">
            <w:col w:w="6040" w:space="300"/>
            <w:col w:w="4880"/>
          </w:cols>
          <w:pgMar w:left="320" w:top="769" w:right="359" w:bottom="1440" w:gutter="0" w:footer="0" w:header="0"/>
          <w:type w:val="continuous"/>
        </w:sectPr>
      </w:pPr>
    </w:p>
    <w:p>
      <w:pPr>
        <w:spacing w:after="0" w:line="25" w:lineRule="exact"/>
        <w:rPr>
          <w:sz w:val="20"/>
          <w:szCs w:val="20"/>
          <w:color w:val="auto"/>
        </w:rPr>
      </w:pPr>
    </w:p>
    <w:p>
      <w:pPr>
        <w:ind w:left="840"/>
        <w:spacing w:after="0"/>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4.13†</w:t>
      </w:r>
      <w:r>
        <w:rPr>
          <w:sz w:val="20"/>
          <w:szCs w:val="20"/>
          <w:color w:val="auto"/>
        </w:rPr>
        <w:tab/>
      </w:r>
      <w:hyperlink r:id="rId447">
        <w:r>
          <w:rPr>
            <w:rFonts w:ascii="Times New Roman" w:cs="Times New Roman" w:eastAsia="Times New Roman" w:hAnsi="Times New Roman"/>
            <w:sz w:val="18"/>
            <w:szCs w:val="18"/>
            <w:u w:val="single" w:color="auto"/>
            <w:color w:val="0000FF"/>
          </w:rPr>
          <w:t>Consolidated Clearing Agreement between IB LLC and Top Capital</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10.13 to the registration statement on Form F-1 (File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-7620</wp:posOffset>
            </wp:positionV>
            <wp:extent cx="312420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8">
                      <a:extLst>
                        <a:ext uri="{28A0092B-C50C-407E-A947-70E740481C1C}"/>
                      </a:extLst>
                    </a:blip>
                    <a:srcRect/>
                    <a:stretch>
                      <a:fillRect/>
                    </a:stretch>
                  </pic:blipFill>
                  <pic:spPr bwMode="auto">
                    <a:xfrm>
                      <a:off x="0" y="0"/>
                      <a:ext cx="3124200" cy="8255"/>
                    </a:xfrm>
                    <a:prstGeom prst="rect">
                      <a:avLst/>
                    </a:prstGeom>
                    <a:noFill/>
                  </pic:spPr>
                </pic:pic>
              </a:graphicData>
            </a:graphic>
          </wp:anchor>
        </w:drawing>
      </w:r>
    </w:p>
    <w:p>
      <w:pPr>
        <w:spacing w:after="0" w:line="7" w:lineRule="exact"/>
        <w:rPr>
          <w:sz w:val="20"/>
          <w:szCs w:val="20"/>
          <w:color w:val="auto"/>
        </w:rPr>
      </w:pPr>
    </w:p>
    <w:p>
      <w:pPr>
        <w:ind w:left="6340" w:right="60" w:hanging="4923"/>
        <w:spacing w:after="0" w:line="260" w:lineRule="auto"/>
        <w:tabs>
          <w:tab w:leader="none" w:pos="6320" w:val="left"/>
        </w:tabs>
        <w:rPr>
          <w:rFonts w:ascii="Times New Roman" w:cs="Times New Roman" w:eastAsia="Times New Roman" w:hAnsi="Times New Roman"/>
          <w:sz w:val="18"/>
          <w:szCs w:val="18"/>
          <w:color w:val="0000FF"/>
        </w:rPr>
      </w:pPr>
      <w:hyperlink r:id="rId447">
        <w:r>
          <w:rPr>
            <w:rFonts w:ascii="Times New Roman" w:cs="Times New Roman" w:eastAsia="Times New Roman" w:hAnsi="Times New Roman"/>
            <w:sz w:val="18"/>
            <w:szCs w:val="18"/>
            <w:u w:val="single" w:color="auto"/>
            <w:color w:val="0000FF"/>
          </w:rPr>
          <w:t>Partners Limited</w:t>
        </w:r>
      </w:hyperlink>
      <w:r>
        <w:rPr>
          <w:rFonts w:ascii="Times New Roman" w:cs="Times New Roman" w:eastAsia="Times New Roman" w:hAnsi="Times New Roman"/>
          <w:sz w:val="18"/>
          <w:szCs w:val="18"/>
          <w:color w:val="0000FF"/>
        </w:rPr>
        <w:tab/>
        <w:t>333-229808), as amended, initially filed with the SEC on February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-172720</wp:posOffset>
            </wp:positionV>
            <wp:extent cx="76454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9">
                      <a:extLst>
                        <a:ext uri="{28A0092B-C50C-407E-A947-70E740481C1C}"/>
                      </a:extLst>
                    </a:blip>
                    <a:srcRect/>
                    <a:stretch>
                      <a:fillRect/>
                    </a:stretch>
                  </pic:blipFill>
                  <pic:spPr bwMode="auto">
                    <a:xfrm>
                      <a:off x="0" y="0"/>
                      <a:ext cx="764540"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420" w:hanging="578"/>
        <w:spacing w:after="0" w:line="282"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4.14†</w:t>
      </w:r>
      <w:r>
        <w:rPr>
          <w:sz w:val="20"/>
          <w:szCs w:val="20"/>
          <w:color w:val="auto"/>
        </w:rPr>
        <w:tab/>
      </w:r>
      <w:hyperlink r:id="rId452">
        <w:r>
          <w:rPr>
            <w:rFonts w:ascii="Times New Roman" w:cs="Times New Roman" w:eastAsia="Times New Roman" w:hAnsi="Times New Roman"/>
            <w:sz w:val="18"/>
            <w:szCs w:val="18"/>
            <w:u w:val="single" w:color="auto"/>
            <w:color w:val="0000FF"/>
          </w:rPr>
          <w:t>Fully Disclosed Clearing Agreement between IB LLC and Top</w:t>
        </w:r>
      </w:hyperlink>
      <w:r>
        <w:rPr>
          <w:rFonts w:ascii="Times New Roman" w:cs="Times New Roman" w:eastAsia="Times New Roman" w:hAnsi="Times New Roman"/>
          <w:sz w:val="18"/>
          <w:szCs w:val="18"/>
          <w:u w:val="single" w:color="auto"/>
          <w:color w:val="0000FF"/>
        </w:rPr>
        <w:t xml:space="preserve"> </w:t>
      </w:r>
      <w:hyperlink r:id="rId452">
        <w:r>
          <w:rPr>
            <w:rFonts w:ascii="Times New Roman" w:cs="Times New Roman" w:eastAsia="Times New Roman" w:hAnsi="Times New Roman"/>
            <w:sz w:val="18"/>
            <w:szCs w:val="18"/>
            <w:u w:val="single" w:color="auto"/>
            <w:color w:val="0000FF"/>
          </w:rPr>
          <w:t>Capital Partners Limited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-185420</wp:posOffset>
            </wp:positionV>
            <wp:extent cx="29095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3">
                      <a:extLst>
                        <a:ext uri="{28A0092B-C50C-407E-A947-70E740481C1C}"/>
                      </a:extLst>
                    </a:blip>
                    <a:srcRect/>
                    <a:stretch>
                      <a:fillRect/>
                    </a:stretch>
                  </pic:blipFill>
                  <pic:spPr bwMode="auto">
                    <a:xfrm>
                      <a:off x="0" y="0"/>
                      <a:ext cx="290957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-48260</wp:posOffset>
            </wp:positionV>
            <wp:extent cx="112331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4">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358" w:lineRule="exact"/>
        <w:rPr>
          <w:sz w:val="20"/>
          <w:szCs w:val="20"/>
          <w:color w:val="auto"/>
        </w:rPr>
      </w:pPr>
    </w:p>
    <w:p>
      <w:pPr>
        <w:ind w:left="840"/>
        <w:spacing w:after="0"/>
        <w:tabs>
          <w:tab w:leader="none" w:pos="140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7"/>
          <w:szCs w:val="17"/>
          <w:u w:val="single" w:color="auto"/>
          <w:color w:val="0000FF"/>
        </w:rPr>
        <w:t>Lease Contract for the Singapore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-7620</wp:posOffset>
            </wp:positionV>
            <wp:extent cx="180530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5">
                      <a:extLst>
                        <a:ext uri="{28A0092B-C50C-407E-A947-70E740481C1C}"/>
                      </a:extLst>
                    </a:blip>
                    <a:srcRect/>
                    <a:stretch>
                      <a:fillRect/>
                    </a:stretch>
                  </pic:blipFill>
                  <pic:spPr bwMode="auto">
                    <a:xfrm>
                      <a:off x="0" y="0"/>
                      <a:ext cx="1805305" cy="8255"/>
                    </a:xfrm>
                    <a:prstGeom prst="rect">
                      <a:avLst/>
                    </a:prstGeom>
                    <a:noFill/>
                  </pic:spPr>
                </pic:pic>
              </a:graphicData>
            </a:graphic>
          </wp:anchor>
        </w:drawing>
      </w:r>
    </w:p>
    <w:p>
      <w:pPr>
        <w:spacing w:after="0" w:line="205" w:lineRule="exact"/>
        <w:rPr>
          <w:sz w:val="20"/>
          <w:szCs w:val="20"/>
          <w:color w:val="auto"/>
        </w:rPr>
      </w:pPr>
    </w:p>
    <w:p>
      <w:pPr>
        <w:ind w:left="1420" w:right="40" w:hanging="578"/>
        <w:spacing w:after="0" w:line="282"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4.16†</w:t>
      </w:r>
      <w:r>
        <w:rPr>
          <w:sz w:val="20"/>
          <w:szCs w:val="20"/>
          <w:color w:val="auto"/>
        </w:rPr>
        <w:tab/>
      </w:r>
      <w:hyperlink r:id="rId456">
        <w:r>
          <w:rPr>
            <w:rFonts w:ascii="Times New Roman" w:cs="Times New Roman" w:eastAsia="Times New Roman" w:hAnsi="Times New Roman"/>
            <w:sz w:val="18"/>
            <w:szCs w:val="18"/>
            <w:u w:val="single" w:color="auto"/>
            <w:color w:val="0000FF"/>
          </w:rPr>
          <w:t>Subscription Agreement by and between the Registrant and IB</w:t>
        </w:r>
      </w:hyperlink>
      <w:r>
        <w:rPr>
          <w:rFonts w:ascii="Times New Roman" w:cs="Times New Roman" w:eastAsia="Times New Roman" w:hAnsi="Times New Roman"/>
          <w:sz w:val="18"/>
          <w:szCs w:val="18"/>
          <w:u w:val="single" w:color="auto"/>
          <w:color w:val="0000FF"/>
        </w:rPr>
        <w:t xml:space="preserve"> </w:t>
      </w:r>
      <w:hyperlink r:id="rId456">
        <w:r>
          <w:rPr>
            <w:rFonts w:ascii="Times New Roman" w:cs="Times New Roman" w:eastAsia="Times New Roman" w:hAnsi="Times New Roman"/>
            <w:sz w:val="18"/>
            <w:szCs w:val="18"/>
            <w:u w:val="single" w:color="auto"/>
            <w:color w:val="0000FF"/>
          </w:rPr>
          <w:t>Global Investments LLC dated March 8,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-185420</wp:posOffset>
            </wp:positionV>
            <wp:extent cx="28905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7">
                      <a:extLst>
                        <a:ext uri="{28A0092B-C50C-407E-A947-70E740481C1C}"/>
                      </a:extLst>
                    </a:blip>
                    <a:srcRect/>
                    <a:stretch>
                      <a:fillRect/>
                    </a:stretch>
                  </pic:blipFill>
                  <pic:spPr bwMode="auto">
                    <a:xfrm>
                      <a:off x="0" y="0"/>
                      <a:ext cx="289052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-48260</wp:posOffset>
            </wp:positionV>
            <wp:extent cx="211010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8">
                      <a:extLst>
                        <a:ext uri="{28A0092B-C50C-407E-A947-70E740481C1C}"/>
                      </a:extLst>
                    </a:blip>
                    <a:srcRect/>
                    <a:stretch>
                      <a:fillRect/>
                    </a:stretch>
                  </pic:blipFill>
                  <pic:spPr bwMode="auto">
                    <a:xfrm>
                      <a:off x="0" y="0"/>
                      <a:ext cx="211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Exhibit 10.14 to the registration statement on Form F-1 (File No. 333-229808), as amended, initially filed with the SEC on February 22,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Exhibit 10.16 to the registration statement on Form F-1 (File No. 333-229808), as amended, initially filed with the SEC on February 22, 2019)</w:t>
      </w:r>
    </w:p>
    <w:p>
      <w:pPr>
        <w:spacing w:after="0" w:line="176" w:lineRule="exact"/>
        <w:rPr>
          <w:sz w:val="20"/>
          <w:szCs w:val="20"/>
          <w:color w:val="auto"/>
        </w:rPr>
      </w:pPr>
    </w:p>
    <w:p>
      <w:pPr>
        <w:sectPr>
          <w:pgSz w:w="11900" w:h="16838" w:orient="portrait"/>
          <w:cols w:equalWidth="0" w:num="2">
            <w:col w:w="5960" w:space="380"/>
            <w:col w:w="4900"/>
          </w:cols>
          <w:pgMar w:left="320" w:top="769" w:right="339" w:bottom="1440" w:gutter="0" w:footer="0" w:header="0"/>
        </w:sectPr>
      </w:pPr>
    </w:p>
    <w:p>
      <w:pPr>
        <w:ind w:left="840"/>
        <w:spacing w:after="0"/>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4.17†</w:t>
      </w:r>
      <w:r>
        <w:rPr>
          <w:sz w:val="20"/>
          <w:szCs w:val="20"/>
          <w:color w:val="auto"/>
        </w:rPr>
        <w:tab/>
      </w:r>
      <w:hyperlink r:id="rId459">
        <w:r>
          <w:rPr>
            <w:rFonts w:ascii="Times New Roman" w:cs="Times New Roman" w:eastAsia="Times New Roman" w:hAnsi="Times New Roman"/>
            <w:sz w:val="17"/>
            <w:szCs w:val="17"/>
            <w:u w:val="single" w:color="auto"/>
            <w:color w:val="0000FF"/>
          </w:rPr>
          <w:t>UP Fintech Holding Limited Share Incentive Plan adopted in June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-7620</wp:posOffset>
            </wp:positionV>
            <wp:extent cx="305879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0">
                      <a:extLst>
                        <a:ext uri="{28A0092B-C50C-407E-A947-70E740481C1C}"/>
                      </a:extLst>
                    </a:blip>
                    <a:srcRect/>
                    <a:stretch>
                      <a:fillRect/>
                    </a:stretch>
                  </pic:blipFill>
                  <pic:spPr bwMode="auto">
                    <a:xfrm>
                      <a:off x="0" y="0"/>
                      <a:ext cx="3058795" cy="8255"/>
                    </a:xfrm>
                    <a:prstGeom prst="rect">
                      <a:avLst/>
                    </a:prstGeom>
                    <a:noFill/>
                  </pic:spPr>
                </pic:pic>
              </a:graphicData>
            </a:graphic>
          </wp:anchor>
        </w:drawing>
      </w:r>
    </w:p>
    <w:p>
      <w:pPr>
        <w:spacing w:after="0" w:line="7"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459">
        <w:r>
          <w:rPr>
            <w:rFonts w:ascii="Times New Roman" w:cs="Times New Roman" w:eastAsia="Times New Roman" w:hAnsi="Times New Roman"/>
            <w:sz w:val="18"/>
            <w:szCs w:val="18"/>
            <w:u w:val="single" w:color="auto"/>
            <w:color w:val="0000FF"/>
          </w:rPr>
          <w:t>2018 and amended in December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-19050</wp:posOffset>
            </wp:positionV>
            <wp:extent cx="17354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1">
                      <a:extLst>
                        <a:ext uri="{28A0092B-C50C-407E-A947-70E740481C1C}"/>
                      </a:extLst>
                    </a:blip>
                    <a:srcRect/>
                    <a:stretch>
                      <a:fillRect/>
                    </a:stretch>
                  </pic:blipFill>
                  <pic:spPr bwMode="auto">
                    <a:xfrm>
                      <a:off x="0" y="0"/>
                      <a:ext cx="1735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66" w:lineRule="auto"/>
        <w:rPr>
          <w:sz w:val="20"/>
          <w:szCs w:val="20"/>
          <w:color w:val="auto"/>
        </w:rPr>
      </w:pPr>
      <w:r>
        <w:rPr>
          <w:rFonts w:ascii="Times New Roman" w:cs="Times New Roman" w:eastAsia="Times New Roman" w:hAnsi="Times New Roman"/>
          <w:sz w:val="18"/>
          <w:szCs w:val="18"/>
          <w:color w:val="auto"/>
        </w:rPr>
        <w:t>Exhibit 10.17 to the registration statement on Form F-1 (File No. 333-229808), as amended, initially filed with the SEC on February 22, 2019)</w:t>
      </w:r>
    </w:p>
    <w:p>
      <w:pPr>
        <w:spacing w:after="0" w:line="163" w:lineRule="exact"/>
        <w:rPr>
          <w:sz w:val="20"/>
          <w:szCs w:val="20"/>
          <w:color w:val="auto"/>
        </w:rPr>
      </w:pPr>
    </w:p>
    <w:p>
      <w:pPr>
        <w:sectPr>
          <w:pgSz w:w="11900" w:h="16838" w:orient="portrait"/>
          <w:cols w:equalWidth="0" w:num="2">
            <w:col w:w="6180" w:space="160"/>
            <w:col w:w="4900"/>
          </w:cols>
          <w:pgMar w:left="320" w:top="769"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4.18†</w:t>
            </w:r>
          </w:p>
        </w:tc>
        <w:tc>
          <w:tcPr>
            <w:tcW w:w="42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462">
              <w:r>
                <w:rPr>
                  <w:rFonts w:ascii="Times New Roman" w:cs="Times New Roman" w:eastAsia="Times New Roman" w:hAnsi="Times New Roman"/>
                  <w:sz w:val="18"/>
                  <w:szCs w:val="18"/>
                  <w:color w:val="0000FF"/>
                </w:rPr>
                <w:t>UP Fintech Holding Limited Amended and Restated 2019</w:t>
              </w:r>
            </w:hyperlink>
          </w:p>
        </w:tc>
        <w:tc>
          <w:tcPr>
            <w:tcW w:w="680" w:type="dxa"/>
            <w:vAlign w:val="bottom"/>
            <w:gridSpan w:val="8"/>
          </w:tcPr>
          <w:p>
            <w:pPr>
              <w:spacing w:after="0"/>
              <w:rPr>
                <w:sz w:val="17"/>
                <w:szCs w:val="17"/>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registration statement on Form S-8 (File No.</w:t>
            </w:r>
          </w:p>
        </w:tc>
      </w:tr>
      <w:tr>
        <w:trPr>
          <w:trHeight w:val="196"/>
        </w:trPr>
        <w:tc>
          <w:tcPr>
            <w:tcW w:w="1420" w:type="dxa"/>
            <w:vAlign w:val="bottom"/>
          </w:tcPr>
          <w:p>
            <w:pPr>
              <w:spacing w:after="0"/>
              <w:rPr>
                <w:sz w:val="17"/>
                <w:szCs w:val="17"/>
                <w:color w:val="auto"/>
              </w:rPr>
            </w:pPr>
          </w:p>
        </w:tc>
        <w:tc>
          <w:tcPr>
            <w:tcW w:w="20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62">
              <w:r>
                <w:rPr>
                  <w:rFonts w:ascii="Times New Roman" w:cs="Times New Roman" w:eastAsia="Times New Roman" w:hAnsi="Times New Roman"/>
                  <w:sz w:val="18"/>
                  <w:szCs w:val="18"/>
                  <w:color w:val="0000FF"/>
                  <w:w w:val="99"/>
                </w:rPr>
                <w:t>Performance Incentive Plan</w:t>
              </w:r>
            </w:hyperlink>
          </w:p>
        </w:tc>
        <w:tc>
          <w:tcPr>
            <w:tcW w:w="20" w:type="dxa"/>
            <w:vAlign w:val="bottom"/>
            <w:tcBorders>
              <w:bottom w:val="single" w:sz="8" w:color="0000EE"/>
            </w:tcBorders>
          </w:tcPr>
          <w:p>
            <w:pPr>
              <w:spacing w:after="0"/>
              <w:rPr>
                <w:sz w:val="17"/>
                <w:szCs w:val="17"/>
                <w:color w:val="auto"/>
              </w:rPr>
            </w:pPr>
          </w:p>
        </w:tc>
        <w:tc>
          <w:tcPr>
            <w:tcW w:w="2880" w:type="dxa"/>
            <w:vAlign w:val="bottom"/>
            <w:gridSpan w:val="12"/>
          </w:tcPr>
          <w:p>
            <w:pPr>
              <w:spacing w:after="0"/>
              <w:rPr>
                <w:sz w:val="17"/>
                <w:szCs w:val="17"/>
                <w:color w:val="auto"/>
              </w:rPr>
            </w:pPr>
          </w:p>
        </w:tc>
        <w:tc>
          <w:tcPr>
            <w:tcW w:w="4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333-259241) filed with the SEC on September 1, 2021</w:t>
            </w:r>
          </w:p>
        </w:tc>
      </w:tr>
      <w:tr>
        <w:trPr>
          <w:trHeight w:val="412"/>
        </w:trPr>
        <w:tc>
          <w:tcPr>
            <w:tcW w:w="1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8.1</w:t>
            </w:r>
          </w:p>
        </w:tc>
        <w:tc>
          <w:tcPr>
            <w:tcW w:w="48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List of principal subsidiaries and consolidated affiliated entities of</w:t>
            </w:r>
          </w:p>
        </w:tc>
        <w:tc>
          <w:tcPr>
            <w:tcW w:w="80" w:type="dxa"/>
            <w:vAlign w:val="bottom"/>
            <w:gridSpan w:val="2"/>
          </w:tcPr>
          <w:p>
            <w:pPr>
              <w:spacing w:after="0"/>
              <w:rPr>
                <w:sz w:val="24"/>
                <w:szCs w:val="24"/>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420" w:type="dxa"/>
            <w:vAlign w:val="bottom"/>
          </w:tcPr>
          <w:p>
            <w:pPr>
              <w:spacing w:after="0"/>
              <w:rPr>
                <w:sz w:val="17"/>
                <w:szCs w:val="17"/>
                <w:color w:val="auto"/>
              </w:rPr>
            </w:pPr>
          </w:p>
        </w:tc>
        <w:tc>
          <w:tcPr>
            <w:tcW w:w="49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the Registrant</w:t>
            </w:r>
          </w:p>
        </w:tc>
        <w:tc>
          <w:tcPr>
            <w:tcW w:w="49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412"/>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11.1†</w:t>
            </w:r>
          </w:p>
        </w:tc>
        <w:tc>
          <w:tcPr>
            <w:tcW w:w="4900" w:type="dxa"/>
            <w:vAlign w:val="bottom"/>
            <w:gridSpan w:val="16"/>
          </w:tcPr>
          <w:p>
            <w:pPr>
              <w:spacing w:after="0"/>
              <w:rPr>
                <w:rFonts w:ascii="Times New Roman" w:cs="Times New Roman" w:eastAsia="Times New Roman" w:hAnsi="Times New Roman"/>
                <w:sz w:val="18"/>
                <w:szCs w:val="18"/>
                <w:color w:val="0000FF"/>
              </w:rPr>
            </w:pPr>
            <w:hyperlink r:id="rId463">
              <w:r>
                <w:rPr>
                  <w:rFonts w:ascii="Times New Roman" w:cs="Times New Roman" w:eastAsia="Times New Roman" w:hAnsi="Times New Roman"/>
                  <w:sz w:val="18"/>
                  <w:szCs w:val="18"/>
                  <w:color w:val="0000FF"/>
                </w:rPr>
                <w:t>Code of Business Conduct and Ethics</w:t>
              </w:r>
            </w:hyperlink>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99.8 to the registration statement on Form F-1 (File No.</w:t>
            </w:r>
          </w:p>
        </w:tc>
      </w:tr>
      <w:tr>
        <w:trPr>
          <w:trHeight w:val="218"/>
        </w:trPr>
        <w:tc>
          <w:tcPr>
            <w:tcW w:w="1420" w:type="dxa"/>
            <w:vAlign w:val="bottom"/>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333-229808), as amended, initially filed with the SEC on February</w:t>
            </w:r>
          </w:p>
        </w:tc>
      </w:tr>
      <w:tr>
        <w:trPr>
          <w:trHeight w:val="234"/>
        </w:trPr>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22, 2019)</w:t>
            </w:r>
          </w:p>
        </w:tc>
      </w:tr>
      <w:tr>
        <w:trPr>
          <w:trHeight w:val="391"/>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11.2</w:t>
            </w:r>
          </w:p>
        </w:tc>
        <w:tc>
          <w:tcPr>
            <w:tcW w:w="4900" w:type="dxa"/>
            <w:vAlign w:val="bottom"/>
            <w:gridSpan w:val="16"/>
          </w:tcPr>
          <w:p>
            <w:pPr>
              <w:spacing w:after="0"/>
              <w:rPr>
                <w:rFonts w:ascii="Times New Roman" w:cs="Times New Roman" w:eastAsia="Times New Roman" w:hAnsi="Times New Roman"/>
                <w:sz w:val="18"/>
                <w:szCs w:val="18"/>
                <w:color w:val="0000FF"/>
              </w:rPr>
            </w:pPr>
            <w:hyperlink r:id="rId464">
              <w:r>
                <w:rPr>
                  <w:rFonts w:ascii="Times New Roman" w:cs="Times New Roman" w:eastAsia="Times New Roman" w:hAnsi="Times New Roman"/>
                  <w:sz w:val="18"/>
                  <w:szCs w:val="18"/>
                  <w:color w:val="0000FF"/>
                </w:rPr>
                <w:t>Inside and Confidential Information Management Policy</w:t>
              </w:r>
            </w:hyperlink>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11.2 to the registration statement on Form F-1 (File No.</w:t>
            </w:r>
          </w:p>
        </w:tc>
      </w:tr>
      <w:tr>
        <w:trPr>
          <w:trHeight w:val="218"/>
        </w:trPr>
        <w:tc>
          <w:tcPr>
            <w:tcW w:w="1420" w:type="dxa"/>
            <w:vAlign w:val="bottom"/>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26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001-38833), as amended, initially filed with the SEC on April 23,</w:t>
            </w:r>
          </w:p>
        </w:tc>
      </w:tr>
      <w:tr>
        <w:trPr>
          <w:trHeight w:val="234"/>
        </w:trPr>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r>
      <w:tr>
        <w:trPr>
          <w:trHeight w:val="391"/>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11.3</w:t>
            </w:r>
          </w:p>
        </w:tc>
        <w:tc>
          <w:tcPr>
            <w:tcW w:w="4900" w:type="dxa"/>
            <w:vAlign w:val="bottom"/>
            <w:gridSpan w:val="16"/>
          </w:tcPr>
          <w:p>
            <w:pPr>
              <w:spacing w:after="0"/>
              <w:rPr>
                <w:rFonts w:ascii="Times New Roman" w:cs="Times New Roman" w:eastAsia="Times New Roman" w:hAnsi="Times New Roman"/>
                <w:sz w:val="18"/>
                <w:szCs w:val="18"/>
                <w:color w:val="0000FF"/>
              </w:rPr>
            </w:pPr>
            <w:hyperlink r:id="rId465">
              <w:r>
                <w:rPr>
                  <w:rFonts w:ascii="Times New Roman" w:cs="Times New Roman" w:eastAsia="Times New Roman" w:hAnsi="Times New Roman"/>
                  <w:sz w:val="18"/>
                  <w:szCs w:val="18"/>
                  <w:color w:val="0000FF"/>
                </w:rPr>
                <w:t>Employee Trading Management Policy</w:t>
              </w:r>
            </w:hyperlink>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11.3 to the registration statement on Form F-1 (File No.</w:t>
            </w:r>
          </w:p>
        </w:tc>
      </w:tr>
      <w:tr>
        <w:trPr>
          <w:trHeight w:val="218"/>
        </w:trPr>
        <w:tc>
          <w:tcPr>
            <w:tcW w:w="1420" w:type="dxa"/>
            <w:vAlign w:val="bottom"/>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001-38833), as amended, initially filed with the SEC on April 23,</w:t>
            </w:r>
          </w:p>
        </w:tc>
      </w:tr>
      <w:tr>
        <w:trPr>
          <w:trHeight w:val="234"/>
        </w:trPr>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r>
      <w:tr>
        <w:trPr>
          <w:trHeight w:val="391"/>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12.1</w:t>
            </w:r>
          </w:p>
        </w:tc>
        <w:tc>
          <w:tcPr>
            <w:tcW w:w="4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Executive Officer</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2"/>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12.2</w:t>
            </w:r>
          </w:p>
        </w:tc>
        <w:tc>
          <w:tcPr>
            <w:tcW w:w="47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Chief Financial Officer</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gridSpan w:val="4"/>
          </w:tcPr>
          <w:p>
            <w:pPr>
              <w:spacing w:after="0"/>
              <w:rPr>
                <w:sz w:val="24"/>
                <w:szCs w:val="24"/>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2"/>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13.1</w:t>
            </w:r>
          </w:p>
        </w:tc>
        <w:tc>
          <w:tcPr>
            <w:tcW w:w="48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18 U.S.C.</w:t>
            </w:r>
          </w:p>
        </w:tc>
        <w:tc>
          <w:tcPr>
            <w:tcW w:w="100" w:type="dxa"/>
            <w:vAlign w:val="bottom"/>
            <w:gridSpan w:val="3"/>
          </w:tcPr>
          <w:p>
            <w:pPr>
              <w:spacing w:after="0"/>
              <w:rPr>
                <w:sz w:val="24"/>
                <w:szCs w:val="24"/>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420" w:type="dxa"/>
            <w:vAlign w:val="bottom"/>
          </w:tcPr>
          <w:p>
            <w:pPr>
              <w:spacing w:after="0"/>
              <w:rPr>
                <w:sz w:val="17"/>
                <w:szCs w:val="17"/>
                <w:color w:val="auto"/>
              </w:rPr>
            </w:pPr>
          </w:p>
        </w:tc>
        <w:tc>
          <w:tcPr>
            <w:tcW w:w="49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49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86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40" w:type="dxa"/>
            <w:vAlign w:val="bottom"/>
          </w:tcPr>
          <w:p>
            <w:pPr>
              <w:spacing w:after="0"/>
              <w:rPr>
                <w:sz w:val="17"/>
                <w:szCs w:val="17"/>
                <w:color w:val="auto"/>
              </w:rPr>
            </w:pPr>
          </w:p>
        </w:tc>
        <w:tc>
          <w:tcPr>
            <w:tcW w:w="49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412"/>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13.2</w:t>
            </w:r>
          </w:p>
        </w:tc>
        <w:tc>
          <w:tcPr>
            <w:tcW w:w="47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18 U.S.C.</w:t>
            </w:r>
          </w:p>
        </w:tc>
        <w:tc>
          <w:tcPr>
            <w:tcW w:w="160" w:type="dxa"/>
            <w:vAlign w:val="bottom"/>
            <w:gridSpan w:val="5"/>
          </w:tcPr>
          <w:p>
            <w:pPr>
              <w:spacing w:after="0"/>
              <w:rPr>
                <w:sz w:val="24"/>
                <w:szCs w:val="24"/>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420" w:type="dxa"/>
            <w:vAlign w:val="bottom"/>
          </w:tcPr>
          <w:p>
            <w:pPr>
              <w:spacing w:after="0"/>
              <w:rPr>
                <w:sz w:val="17"/>
                <w:szCs w:val="17"/>
                <w:color w:val="auto"/>
              </w:rPr>
            </w:pPr>
          </w:p>
        </w:tc>
        <w:tc>
          <w:tcPr>
            <w:tcW w:w="49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49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86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40" w:type="dxa"/>
            <w:vAlign w:val="bottom"/>
          </w:tcPr>
          <w:p>
            <w:pPr>
              <w:spacing w:after="0"/>
              <w:rPr>
                <w:sz w:val="17"/>
                <w:szCs w:val="17"/>
                <w:color w:val="auto"/>
              </w:rPr>
            </w:pPr>
          </w:p>
        </w:tc>
        <w:tc>
          <w:tcPr>
            <w:tcW w:w="49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412"/>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15.1</w:t>
            </w:r>
          </w:p>
        </w:tc>
        <w:tc>
          <w:tcPr>
            <w:tcW w:w="4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Consent of KPMG Huazhen LLP Certified Public Accountants</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669"/>
        </w:trPr>
        <w:tc>
          <w:tcPr>
            <w:tcW w:w="1420" w:type="dxa"/>
            <w:vAlign w:val="bottom"/>
          </w:tcPr>
          <w:p>
            <w:pPr>
              <w:spacing w:after="0"/>
              <w:rPr>
                <w:sz w:val="24"/>
                <w:szCs w:val="24"/>
                <w:color w:val="auto"/>
              </w:rPr>
            </w:pPr>
          </w:p>
        </w:tc>
        <w:tc>
          <w:tcPr>
            <w:tcW w:w="4520" w:type="dxa"/>
            <w:vAlign w:val="bottom"/>
            <w:tcBorders>
              <w:top w:val="single" w:sz="8" w:color="0000FF"/>
            </w:tcBorders>
            <w:gridSpan w:val="9"/>
          </w:tcPr>
          <w:p>
            <w:pPr>
              <w:ind w:left="4060"/>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3780"/>
        <w:spacing w:after="0"/>
        <w:tabs>
          <w:tab w:leader="none" w:pos="5940" w:val="left"/>
          <w:tab w:leader="none" w:pos="102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u w:val="single" w:color="auto"/>
          <w:color w:val="0000FF"/>
        </w:rPr>
        <w:t>Consent of JunHe LLP</w:t>
      </w:r>
      <w:r>
        <w:rPr>
          <w:sz w:val="20"/>
          <w:szCs w:val="20"/>
          <w:color w:val="auto"/>
        </w:rPr>
        <w:tab/>
      </w:r>
      <w:r>
        <w:rPr>
          <w:rFonts w:ascii="Times New Roman" w:cs="Times New Roman" w:eastAsia="Times New Roman" w:hAnsi="Times New Roman"/>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-7620</wp:posOffset>
            </wp:positionV>
            <wp:extent cx="10502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9">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05" w:lineRule="exact"/>
        <w:rPr>
          <w:sz w:val="20"/>
          <w:szCs w:val="20"/>
          <w:color w:val="auto"/>
        </w:rPr>
      </w:pPr>
    </w:p>
    <w:p>
      <w:pPr>
        <w:ind w:left="840"/>
        <w:spacing w:after="0"/>
        <w:tabs>
          <w:tab w:leader="none" w:pos="140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7"/>
          <w:szCs w:val="17"/>
          <w:color w:val="auto"/>
        </w:rPr>
        <w:t>The registrant hereby agrees to furnish to the SEC, upon request,</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copies of instruments defining the rights of holder of long-term debt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of the registrant and its consolidated subsidiaries and for any of its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unconsolidated subsidiaries for which financial statements are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required to the filed.</w:t>
      </w:r>
    </w:p>
    <w:p>
      <w:pPr>
        <w:sectPr>
          <w:pgSz w:w="11900" w:h="16838" w:orient="portrait"/>
          <w:cols w:equalWidth="0" w:num="1">
            <w:col w:w="11160"/>
          </w:cols>
          <w:pgMar w:left="320" w:top="769" w:right="419" w:bottom="1440" w:gutter="0" w:footer="0" w:header="0"/>
        </w:sectPr>
      </w:pPr>
    </w:p>
    <w:p>
      <w:pPr>
        <w:spacing w:after="0" w:line="207" w:lineRule="exact"/>
        <w:rPr>
          <w:sz w:val="20"/>
          <w:szCs w:val="20"/>
          <w:color w:val="auto"/>
        </w:rPr>
      </w:pPr>
    </w:p>
    <w:p>
      <w:pPr>
        <w:ind w:left="1420" w:right="100" w:hanging="448"/>
        <w:spacing w:after="0" w:line="282" w:lineRule="auto"/>
        <w:tabs>
          <w:tab w:leader="none" w:pos="1420" w:val="left"/>
        </w:tabs>
        <w:numPr>
          <w:ilvl w:val="0"/>
          <w:numId w:val="64"/>
        </w:numPr>
        <w:rPr>
          <w:rFonts w:ascii="Times New Roman" w:cs="Times New Roman" w:eastAsia="Times New Roman" w:hAnsi="Times New Roman"/>
          <w:sz w:val="18"/>
          <w:szCs w:val="18"/>
          <w:u w:val="single" w:color="auto"/>
          <w:color w:val="0000FF"/>
        </w:rPr>
      </w:pPr>
      <w:hyperlink r:id="rId470">
        <w:r>
          <w:rPr>
            <w:rFonts w:ascii="Times New Roman" w:cs="Times New Roman" w:eastAsia="Times New Roman" w:hAnsi="Times New Roman"/>
            <w:sz w:val="18"/>
            <w:szCs w:val="18"/>
            <w:u w:val="single" w:color="auto"/>
            <w:color w:val="0000FF"/>
          </w:rPr>
          <w:t>UP Fintech Holding Limited Policy on Recoupment of Incentive</w:t>
        </w:r>
      </w:hyperlink>
      <w:r>
        <w:rPr>
          <w:rFonts w:ascii="Times New Roman" w:cs="Times New Roman" w:eastAsia="Times New Roman" w:hAnsi="Times New Roman"/>
          <w:sz w:val="18"/>
          <w:szCs w:val="18"/>
          <w:u w:val="single" w:color="auto"/>
          <w:color w:val="0000FF"/>
        </w:rPr>
        <w:t xml:space="preserve"> </w:t>
      </w:r>
      <w:hyperlink r:id="rId470">
        <w:r>
          <w:rPr>
            <w:rFonts w:ascii="Times New Roman" w:cs="Times New Roman" w:eastAsia="Times New Roman" w:hAnsi="Times New Roman"/>
            <w:sz w:val="18"/>
            <w:szCs w:val="18"/>
            <w:u w:val="single" w:color="auto"/>
            <w:color w:val="0000FF"/>
          </w:rPr>
          <w:t>Compensation</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899160</wp:posOffset>
            </wp:positionH>
            <wp:positionV relativeFrom="paragraph">
              <wp:posOffset>-185420</wp:posOffset>
            </wp:positionV>
            <wp:extent cx="298577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1">
                      <a:extLst>
                        <a:ext uri="{28A0092B-C50C-407E-A947-70E740481C1C}"/>
                      </a:extLst>
                    </a:blip>
                    <a:srcRect/>
                    <a:stretch>
                      <a:fillRect/>
                    </a:stretch>
                  </pic:blipFill>
                  <pic:spPr bwMode="auto">
                    <a:xfrm>
                      <a:off x="0" y="0"/>
                      <a:ext cx="298577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-48260</wp:posOffset>
            </wp:positionV>
            <wp:extent cx="65976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2">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color w:val="auto"/>
        </w:rPr>
      </w:pPr>
    </w:p>
    <w:p>
      <w:pPr>
        <w:jc w:val="both"/>
        <w:ind w:left="1420" w:hanging="868"/>
        <w:spacing w:after="0" w:line="266" w:lineRule="auto"/>
        <w:tabs>
          <w:tab w:leader="none" w:pos="1400" w:val="left"/>
        </w:tabs>
        <w:rPr>
          <w:sz w:val="20"/>
          <w:szCs w:val="20"/>
          <w:color w:val="auto"/>
        </w:rPr>
      </w:pPr>
      <w:r>
        <w:rPr>
          <w:rFonts w:ascii="Times New Roman" w:cs="Times New Roman" w:eastAsia="Times New Roman" w:hAnsi="Times New Roman"/>
          <w:sz w:val="18"/>
          <w:szCs w:val="18"/>
          <w:color w:val="auto"/>
        </w:rPr>
        <w:t>101.INS</w:t>
        <w:tab/>
        <w:t>Inline XBRL Instance Document–the instance document does not appear in the Interactive Data File as its XBRL tags are embedded within the Inline XBRL document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187" w:lineRule="exact"/>
        <w:rPr>
          <w:rFonts w:ascii="Times New Roman" w:cs="Times New Roman" w:eastAsia="Times New Roman" w:hAnsi="Times New Roman"/>
          <w:sz w:val="18"/>
          <w:szCs w:val="18"/>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0000EE"/>
        </w:rPr>
        <w:t>Exhibit 97 to the annual report on Form 20-F (File No. 001-38833) filed with the SEC on April 22, 2024</w:t>
      </w:r>
    </w:p>
    <w:p>
      <w:pPr>
        <w:spacing w:after="0" w:line="1025" w:lineRule="exact"/>
        <w:rPr>
          <w:rFonts w:ascii="Times New Roman" w:cs="Times New Roman" w:eastAsia="Times New Roman" w:hAnsi="Times New Roman"/>
          <w:sz w:val="18"/>
          <w:szCs w:val="18"/>
          <w:color w:val="auto"/>
        </w:rPr>
      </w:pPr>
    </w:p>
    <w:p>
      <w:pPr>
        <w:sectPr>
          <w:pgSz w:w="11900" w:h="16838" w:orient="portrait"/>
          <w:cols w:equalWidth="0" w:num="2">
            <w:col w:w="6180" w:space="160"/>
            <w:col w:w="4820"/>
          </w:cols>
          <w:pgMar w:left="320" w:top="769" w:right="419" w:bottom="1440" w:gutter="0" w:footer="0" w:header="0"/>
          <w:type w:val="continuous"/>
        </w:sectPr>
      </w:pPr>
    </w:p>
    <w:p>
      <w:pPr>
        <w:ind w:left="480"/>
        <w:spacing w:after="0"/>
        <w:tabs>
          <w:tab w:leader="none" w:pos="140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7"/>
          <w:szCs w:val="17"/>
          <w:color w:val="auto"/>
        </w:rPr>
        <w:t>Inline XBRL Taxonomy Extension Schema With Embedded</w:t>
      </w:r>
    </w:p>
    <w:p>
      <w:pPr>
        <w:spacing w:after="0" w:line="27" w:lineRule="exact"/>
        <w:rPr>
          <w:rFonts w:ascii="Times New Roman" w:cs="Times New Roman" w:eastAsia="Times New Roman" w:hAnsi="Times New Roman"/>
          <w:sz w:val="18"/>
          <w:szCs w:val="18"/>
          <w:color w:val="auto"/>
        </w:rPr>
      </w:pPr>
    </w:p>
    <w:p>
      <w:pPr>
        <w:ind w:left="1420"/>
        <w:spacing w:after="0"/>
        <w:rPr>
          <w:sz w:val="20"/>
          <w:szCs w:val="20"/>
          <w:color w:val="auto"/>
        </w:rPr>
      </w:pPr>
      <w:r>
        <w:rPr>
          <w:rFonts w:ascii="Times New Roman" w:cs="Times New Roman" w:eastAsia="Times New Roman" w:hAnsi="Times New Roman"/>
          <w:sz w:val="18"/>
          <w:szCs w:val="18"/>
          <w:color w:val="auto"/>
        </w:rPr>
        <w:t>Linkbase Documents</w:t>
      </w:r>
    </w:p>
    <w:p>
      <w:pPr>
        <w:spacing w:after="0" w:line="207" w:lineRule="exact"/>
        <w:rPr>
          <w:rFonts w:ascii="Times New Roman" w:cs="Times New Roman" w:eastAsia="Times New Roman" w:hAnsi="Times New Roman"/>
          <w:sz w:val="18"/>
          <w:szCs w:val="18"/>
          <w:color w:val="auto"/>
        </w:rPr>
      </w:pPr>
    </w:p>
    <w:p>
      <w:pPr>
        <w:ind w:left="1420" w:hanging="538"/>
        <w:spacing w:after="0"/>
        <w:tabs>
          <w:tab w:leader="none" w:pos="14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w:t>
      </w:r>
    </w:p>
    <w:p>
      <w:pPr>
        <w:spacing w:after="0" w:line="27"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2" w:lineRule="exact"/>
        <w:rPr>
          <w:rFonts w:ascii="Times New Roman" w:cs="Times New Roman" w:eastAsia="Times New Roman" w:hAnsi="Times New Roman"/>
          <w:sz w:val="18"/>
          <w:szCs w:val="18"/>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has duly caused and authorized the undersigned to sign this annual report on its behalf.</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UP FINTECH HOLDING LIMITED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Tianhua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Tianhua Wu</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 and Director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April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07"/>
        </w:trPr>
        <w:tc>
          <w:tcPr>
            <w:tcW w:w="100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885"/>
        </w:trPr>
        <w:tc>
          <w:tcPr>
            <w:tcW w:w="2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8160" w:type="dxa"/>
            <w:vAlign w:val="bottom"/>
            <w:gridSpan w:val="10"/>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60" w:type="dxa"/>
            <w:vAlign w:val="bottom"/>
            <w:gridSpan w:val="10"/>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 2023, 2024 and 2025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86"/>
        </w:trPr>
        <w:tc>
          <w:tcPr>
            <w:tcW w:w="1002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237"/>
        </w:trPr>
        <w:tc>
          <w:tcPr>
            <w:tcW w:w="100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1186</w:t>
            </w:r>
            <w:r>
              <w:rPr>
                <w:rFonts w:ascii="Verdana" w:cs="Verdana" w:eastAsia="Verdana" w:hAnsi="Verdana"/>
                <w:sz w:val="18"/>
                <w:szCs w:val="18"/>
                <w:color w:val="000000"/>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2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gridSpan w:val="2"/>
            <w:shd w:val="clear" w:color="auto" w:fill="0000FF"/>
          </w:tcPr>
          <w:p>
            <w:pPr>
              <w:spacing w:after="0" w:line="20" w:lineRule="exact"/>
              <w:rPr>
                <w:sz w:val="1"/>
                <w:szCs w:val="1"/>
                <w:color w:val="auto"/>
              </w:rPr>
            </w:pPr>
          </w:p>
        </w:tc>
        <w:tc>
          <w:tcPr>
            <w:tcW w:w="39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00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2024 AND 2025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0"/>
        </w:trPr>
        <w:tc>
          <w:tcPr>
            <w:tcW w:w="2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gridSpan w:val="2"/>
            <w:shd w:val="clear" w:color="auto" w:fill="0000FF"/>
          </w:tcPr>
          <w:p>
            <w:pPr>
              <w:spacing w:after="0" w:line="20" w:lineRule="exact"/>
              <w:rPr>
                <w:sz w:val="1"/>
                <w:szCs w:val="1"/>
                <w:color w:val="auto"/>
              </w:rPr>
            </w:pPr>
          </w:p>
        </w:tc>
        <w:tc>
          <w:tcPr>
            <w:tcW w:w="4240" w:type="dxa"/>
            <w:vAlign w:val="bottom"/>
            <w:tcBorders>
              <w:right w:val="single" w:sz="8" w:color="0000EE"/>
            </w:tcBorders>
            <w:gridSpan w:val="3"/>
            <w:shd w:val="clear" w:color="auto" w:fill="0000FF"/>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00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2023, 2024 AND</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196"/>
        </w:trPr>
        <w:tc>
          <w:tcPr>
            <w:tcW w:w="560" w:type="dxa"/>
            <w:vAlign w:val="bottom"/>
            <w:tcBorders>
              <w:top w:val="single" w:sz="8" w:color="0000FF"/>
            </w:tcBorders>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0000FF"/>
                <w:w w:val="94"/>
              </w:rPr>
              <w:t>2025</w:t>
            </w:r>
          </w:p>
        </w:tc>
        <w:tc>
          <w:tcPr>
            <w:tcW w:w="74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39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96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 DECEMBER 31,</w:t>
            </w:r>
          </w:p>
        </w:tc>
        <w:tc>
          <w:tcPr>
            <w:tcW w:w="3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196"/>
        </w:trPr>
        <w:tc>
          <w:tcPr>
            <w:tcW w:w="220" w:type="dxa"/>
            <w:vAlign w:val="bottom"/>
          </w:tcPr>
          <w:p>
            <w:pPr>
              <w:spacing w:after="0"/>
              <w:rPr>
                <w:sz w:val="17"/>
                <w:szCs w:val="17"/>
                <w:color w:val="auto"/>
              </w:rPr>
            </w:pPr>
          </w:p>
        </w:tc>
        <w:tc>
          <w:tcPr>
            <w:tcW w:w="98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2023, 2024 AND 2025</w:t>
            </w:r>
          </w:p>
        </w:tc>
        <w:tc>
          <w:tcPr>
            <w:tcW w:w="1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1640" w:type="dxa"/>
            <w:vAlign w:val="bottom"/>
            <w:tcBorders>
              <w:right w:val="single" w:sz="8" w:color="0000EE"/>
            </w:tcBorders>
            <w:gridSpan w:val="3"/>
            <w:shd w:val="clear" w:color="auto" w:fill="0000FF"/>
          </w:tcPr>
          <w:p>
            <w:pPr>
              <w:spacing w:after="0" w:line="20" w:lineRule="exact"/>
              <w:rPr>
                <w:sz w:val="1"/>
                <w:szCs w:val="1"/>
                <w:color w:val="auto"/>
              </w:rPr>
            </w:pPr>
          </w:p>
        </w:tc>
        <w:tc>
          <w:tcPr>
            <w:tcW w:w="7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91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2024 AND 2025</w:t>
            </w:r>
          </w:p>
        </w:tc>
        <w:tc>
          <w:tcPr>
            <w:tcW w:w="20" w:type="dxa"/>
            <w:vAlign w:val="bottom"/>
            <w:tcBorders>
              <w:bottom w:val="single" w:sz="8" w:color="0000EE"/>
            </w:tcBorders>
          </w:tcPr>
          <w:p>
            <w:pPr>
              <w:spacing w:after="0"/>
              <w:rPr>
                <w:sz w:val="21"/>
                <w:szCs w:val="21"/>
                <w:color w:val="auto"/>
              </w:rPr>
            </w:pPr>
          </w:p>
        </w:tc>
        <w:tc>
          <w:tcPr>
            <w:tcW w:w="860" w:type="dxa"/>
            <w:vAlign w:val="bottom"/>
            <w:gridSpan w:val="4"/>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250"/>
        </w:trPr>
        <w:tc>
          <w:tcPr>
            <w:tcW w:w="100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FOR THE YEARS ENDED DECEMBER 31, 2023, 2024 AND 2025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r>
        <w:trPr>
          <w:trHeight w:val="885"/>
        </w:trPr>
        <w:tc>
          <w:tcPr>
            <w:tcW w:w="2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7740" w:type="dxa"/>
            <w:vAlign w:val="bottom"/>
            <w:tcBorders>
              <w:top w:val="single" w:sz="8" w:color="0000FF"/>
            </w:tcBorders>
            <w:gridSpan w:val="7"/>
          </w:tcPr>
          <w:p>
            <w:pPr>
              <w:jc w:val="center"/>
              <w:ind w:right="220"/>
              <w:spacing w:after="0"/>
              <w:rPr>
                <w:sz w:val="20"/>
                <w:szCs w:val="20"/>
                <w:color w:val="auto"/>
              </w:rPr>
            </w:pPr>
            <w:r>
              <w:rPr>
                <w:rFonts w:ascii="Times New Roman" w:cs="Times New Roman" w:eastAsia="Times New Roman" w:hAnsi="Times New Roman"/>
                <w:sz w:val="18"/>
                <w:szCs w:val="18"/>
                <w:color w:val="auto"/>
                <w:w w:val="95"/>
              </w:rPr>
              <w:t>F-1</w:t>
            </w:r>
          </w:p>
        </w:tc>
        <w:tc>
          <w:tcPr>
            <w:tcW w:w="4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Fintech Holding Limited: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Consolidated Financial Statements and Internal Control Over Financial Reporting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UP Fintech Holding Limited and subsidiaries (the Company) as of December 31, 2024 and 2025, the related consolidated statements of comprehensive income, changes in shareholders’ equity,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2024 and 2025,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company; and (3) provide reasonable assurance regarding prevention or timely detection of unauthorized acquisition, use, or disposition of the company’s assets that could have a material effect on the financial statements.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Realizability of deferred tax assets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Notes 2 and 8 to the consolidated financial statements, the Group’s deferred tax assets and valuation allowance were US$34,243,610 and US$21,316,154 respectively, as of December 31, 2025. Deferred tax assets are reduced by a valuation allowance if, in the opinion of management, it is more-likely-than-not that some portion or all of the deferred tax assets will not be realized. The realizability of deferred tax assets requires significant judgment associated with evaluation of past and projected financial performance which incorporates projections of future taxable income, including certain forecasted revenues and expenses, by tax-paying component.</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realizability of deferred tax assets as a critical audit matter. A high degree of subjective auditor judgment was required in assessing the Group’s forecasted revenue, operating cost and expenses by tax-paying component which are the key assumptions in estimating future taxable income over the period in which deferred tax assets will be realized. Such key assumptions are sensitive to variation, such that minor changes could have an impact on the Group’s evaluation of the realizability of the deferred tax assets.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Group’s process for evaluating the realizability of deferred tax assets, including controls related to the development of assumptions in estimating future taxable income. We assessed the Group’s estimate of future taxable income by tax-paying component, including certain forecasted revenue and operating cost and expenses by comparing them to historical results. We compared the historical forecasts of taxable income to actual results to assess the Group’s ability to accurately forecast. We also performed sensitivity analysis over the assumptions related to the forecasted revenue, operating cost and expenses by tax-paying component to assess the impact of changes in those assumptions on the realizability assessment. We involved income tax professionals with specialized skills and knowledge, who assisted in assessing the Group’s interpretation and application of the relevant tax laws and regulations used to calculate future taxable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UP FINTECH HOLDING LIMITED CONSOLIDATED BALANCE SHEETS (All amounts in US$, except for share, per share data, or otherwise noted)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400" w:type="dxa"/>
            <w:vAlign w:val="bottom"/>
          </w:tcPr>
          <w:p>
            <w:pPr>
              <w:spacing w:after="0"/>
              <w:rPr>
                <w:sz w:val="13"/>
                <w:szCs w:val="13"/>
                <w:color w:val="auto"/>
              </w:rPr>
            </w:pPr>
          </w:p>
        </w:tc>
        <w:tc>
          <w:tcPr>
            <w:tcW w:w="19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400" w:type="dxa"/>
            <w:vAlign w:val="bottom"/>
          </w:tcPr>
          <w:p>
            <w:pPr>
              <w:spacing w:after="0"/>
              <w:rPr>
                <w:sz w:val="11"/>
                <w:szCs w:val="11"/>
                <w:color w:val="auto"/>
              </w:rPr>
            </w:pPr>
          </w:p>
        </w:tc>
        <w:tc>
          <w:tcPr>
            <w:tcW w:w="1220" w:type="dxa"/>
            <w:vAlign w:val="bottom"/>
            <w:tcBorders>
              <w:bottom w:val="single" w:sz="8" w:color="auto"/>
            </w:tcBorders>
          </w:tcPr>
          <w:p>
            <w:pPr>
              <w:jc w:val="right"/>
              <w:ind w:right="41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77"/>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00" w:type="dxa"/>
            <w:vAlign w:val="bottom"/>
          </w:tcPr>
          <w:p>
            <w:pPr>
              <w:spacing w:after="0"/>
              <w:rPr>
                <w:sz w:val="11"/>
                <w:szCs w:val="11"/>
                <w:color w:val="auto"/>
              </w:rPr>
            </w:pPr>
          </w:p>
        </w:tc>
        <w:tc>
          <w:tcPr>
            <w:tcW w:w="1220" w:type="dxa"/>
            <w:vAlign w:val="bottom"/>
          </w:tcPr>
          <w:p>
            <w:pPr>
              <w:jc w:val="right"/>
              <w:ind w:right="437"/>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ind w:right="497"/>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393,576,874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791,016,893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Cash-segregated for regulatory purpose</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2,464,683,625</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3,401,889,322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Term deposits</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1,075,260</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2,061,474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Receivables from customers (net of allowance of US$15,284,002 and US$5,050,501 as of December 31, 2024 and 2025)</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1,052,972,649</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1,785,416,288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Receivables from brokers, dealers, and clearing organizations (net of allowance of nil as of December 31, 2024 and 2025)</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2,305,740,507</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2,032,966,861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Financial instruments held, at fair value</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75,547,082</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85,541,628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17,629,819</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33,956,983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Borders>
              <w:bottom w:val="single" w:sz="8" w:color="CFF0FC"/>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Amounts due from related parties</w:t>
            </w:r>
          </w:p>
        </w:tc>
        <w:tc>
          <w:tcPr>
            <w:tcW w:w="12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16,720,671</w:t>
            </w:r>
          </w:p>
        </w:tc>
        <w:tc>
          <w:tcPr>
            <w:tcW w:w="22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19,077,760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6,327,946,487</w:t>
            </w:r>
          </w:p>
        </w:tc>
        <w:tc>
          <w:tcPr>
            <w:tcW w:w="2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8,151,927,209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0" w:type="dxa"/>
            <w:vAlign w:val="bottom"/>
            <w:shd w:val="clear" w:color="auto" w:fill="CFF0FC"/>
          </w:tcPr>
          <w:p>
            <w:pPr>
              <w:ind w:left="140"/>
              <w:spacing w:after="0" w:line="129" w:lineRule="exact"/>
              <w:rPr>
                <w:sz w:val="20"/>
                <w:szCs w:val="20"/>
                <w:color w:val="auto"/>
              </w:rPr>
            </w:pPr>
            <w:r>
              <w:rPr>
                <w:rFonts w:ascii="Times New Roman" w:cs="Times New Roman" w:eastAsia="Times New Roman" w:hAnsi="Times New Roman"/>
                <w:sz w:val="13"/>
                <w:szCs w:val="13"/>
                <w:color w:val="auto"/>
              </w:rPr>
              <w:t>Long-term deposits</w:t>
            </w:r>
          </w:p>
        </w:tc>
        <w:tc>
          <w:tcPr>
            <w:tcW w:w="1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1,369,994</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Right-of-use assets</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10,880,673</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11,674,596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Property, equipment and intangible assets, net</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15,358,528</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14,364,025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Crypto assets held</w:t>
            </w:r>
          </w:p>
        </w:tc>
        <w:tc>
          <w:tcPr>
            <w:tcW w:w="1920" w:type="dxa"/>
            <w:vAlign w:val="bottom"/>
            <w:gridSpan w:val="3"/>
          </w:tcPr>
          <w:p>
            <w:pPr>
              <w:jc w:val="right"/>
              <w:ind w:righ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4,339,298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Goodwill</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2,492,668</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2,492,668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Long-term investments</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7,658,809</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9,810,822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Equity method investment</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10,203,622</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10,585,414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Other non-current assets</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6,828,553</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10,932,109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Borders>
              <w:bottom w:val="single" w:sz="8" w:color="CFF0FC"/>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Deferred tax assets</w:t>
            </w:r>
          </w:p>
        </w:tc>
        <w:tc>
          <w:tcPr>
            <w:tcW w:w="12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8,573,135</w:t>
            </w:r>
          </w:p>
        </w:tc>
        <w:tc>
          <w:tcPr>
            <w:tcW w:w="22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10,404,896</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6,391,312,469</w:t>
            </w:r>
          </w:p>
        </w:tc>
        <w:tc>
          <w:tcPr>
            <w:tcW w:w="2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8,226,531,037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Payables to customers</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3,574,651,125</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5,095,965,998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Payables to brokers, dealers and clearing organizations</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1,914,769,701</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1,903,912,312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840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Accrued expenses and other current liabilities (including accrued expenses and other current liabilities of the consolidated</w:t>
            </w: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VIEs without recourse to the Group of US$10,624,181 and US$16,083,646 as of December 31, 2024 and 2025, respectively)</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67,263,254</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111,689,582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Convertible bonds – current</w:t>
            </w:r>
          </w:p>
        </w:tc>
        <w:tc>
          <w:tcPr>
            <w:tcW w:w="1920" w:type="dxa"/>
            <w:vAlign w:val="bottom"/>
            <w:gridSpan w:val="3"/>
            <w:shd w:val="clear" w:color="auto" w:fill="CFF0FC"/>
          </w:tcPr>
          <w:p>
            <w:pPr>
              <w:jc w:val="right"/>
              <w:ind w:righ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111,178,103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840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Lease liabilities – current (including lease liabilities – current of the consolidated VIEs without recourse to the Group of</w:t>
            </w: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US$969,176 and US$860,712 as of December 31,2024 and 2025, respectively)</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4,153,928</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6,777,918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400" w:type="dxa"/>
            <w:vAlign w:val="bottom"/>
            <w:tcBorders>
              <w:bottom w:val="single" w:sz="8" w:color="CFF0FC"/>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Amounts due to related parties</w:t>
            </w:r>
          </w:p>
        </w:tc>
        <w:tc>
          <w:tcPr>
            <w:tcW w:w="12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874,331</w:t>
            </w:r>
          </w:p>
        </w:tc>
        <w:tc>
          <w:tcPr>
            <w:tcW w:w="22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69,935,059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5,561,712,339</w:t>
            </w:r>
          </w:p>
        </w:tc>
        <w:tc>
          <w:tcPr>
            <w:tcW w:w="2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7,299,458,972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0" w:type="dxa"/>
            <w:vAlign w:val="bottom"/>
            <w:shd w:val="clear" w:color="auto" w:fill="CFF0FC"/>
          </w:tcPr>
          <w:p>
            <w:pPr>
              <w:ind w:left="140"/>
              <w:spacing w:after="0" w:line="129" w:lineRule="exact"/>
              <w:rPr>
                <w:sz w:val="20"/>
                <w:szCs w:val="20"/>
                <w:color w:val="auto"/>
              </w:rPr>
            </w:pPr>
            <w:r>
              <w:rPr>
                <w:rFonts w:ascii="Times New Roman" w:cs="Times New Roman" w:eastAsia="Times New Roman" w:hAnsi="Times New Roman"/>
                <w:sz w:val="13"/>
                <w:szCs w:val="13"/>
                <w:color w:val="auto"/>
              </w:rPr>
              <w:t>Convertible bonds – non-current</w:t>
            </w:r>
          </w:p>
        </w:tc>
        <w:tc>
          <w:tcPr>
            <w:tcW w:w="1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159,505,397</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51,000,000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840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Lease liabilities – non-current (including lease liabilities – non-current of the consolidated VIEs without recourse to the</w:t>
            </w: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Group of US1,292,591 and US$705,038 as of December 31, 2024 and 2025, respectively)</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5,902,323</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4,198,997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40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Deferred tax liabilities (including deferred tax liabilities of the consolidated VIEs without recourse to the Group of US$27,247</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2,068,661</w:t>
            </w: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1,694,325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400" w:type="dxa"/>
            <w:vAlign w:val="bottom"/>
            <w:tcBorders>
              <w:bottom w:val="single" w:sz="8" w:color="CFF0FC"/>
            </w:tcBorders>
            <w:shd w:val="clear" w:color="auto" w:fill="CFF0FC"/>
          </w:tcPr>
          <w:p>
            <w:pPr>
              <w:ind w:left="200"/>
              <w:spacing w:after="0" w:line="140" w:lineRule="exact"/>
              <w:rPr>
                <w:sz w:val="20"/>
                <w:szCs w:val="20"/>
                <w:color w:val="auto"/>
              </w:rPr>
            </w:pPr>
            <w:r>
              <w:rPr>
                <w:rFonts w:ascii="Times New Roman" w:cs="Times New Roman" w:eastAsia="Times New Roman" w:hAnsi="Times New Roman"/>
                <w:sz w:val="13"/>
                <w:szCs w:val="13"/>
                <w:color w:val="auto"/>
              </w:rPr>
              <w:t>and US$16,522 as of December 31, 2024 and 2025, respectively)</w:t>
            </w:r>
          </w:p>
        </w:tc>
        <w:tc>
          <w:tcPr>
            <w:tcW w:w="12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4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5,729,188,720</w:t>
            </w:r>
          </w:p>
        </w:tc>
        <w:tc>
          <w:tcPr>
            <w:tcW w:w="2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7,356,352,294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Commitments and Contingencies (Note 19)</w:t>
            </w:r>
          </w:p>
        </w:tc>
        <w:tc>
          <w:tcPr>
            <w:tcW w:w="1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Mezzanine equity</w:t>
            </w: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Borders>
              <w:bottom w:val="single" w:sz="8" w:color="CFF0FC"/>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Redeemable non-controlling interests</w:t>
            </w:r>
          </w:p>
        </w:tc>
        <w:tc>
          <w:tcPr>
            <w:tcW w:w="12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7,177,668</w:t>
            </w:r>
          </w:p>
        </w:tc>
        <w:tc>
          <w:tcPr>
            <w:tcW w:w="22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4,946,478</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Mezzanine equity</w:t>
            </w: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7,177,668</w:t>
            </w:r>
          </w:p>
        </w:tc>
        <w:tc>
          <w:tcPr>
            <w:tcW w:w="2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4,946,478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Shareholders’ equity:</w:t>
            </w:r>
          </w:p>
        </w:tc>
        <w:tc>
          <w:tcPr>
            <w:tcW w:w="1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840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Class A ordinary shares (US$0.00001 par value; 4,662,388,278 shares authorized as of December 31, 2024 and 2025,</w:t>
            </w: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2,542,714,350 and 2,580,205,825 shares issued and outstanding as of December 31, 2024 and 2025, respectively)</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25,427</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40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Class B ordinary shares (US$0.00001 par value; 337,611,722 shares authorized as of December 31, 2024 and 2025,</w:t>
            </w:r>
          </w:p>
        </w:tc>
        <w:tc>
          <w:tcPr>
            <w:tcW w:w="1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97,611,722 shares issued and outstanding as of December 31, 2024 and 2025)</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976</w:t>
            </w: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619,030,730</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634,203,244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Statutory reserve</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12,425,463</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15,587,049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Retained earnings</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37,843,547</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208,408,915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Treasury stock (10,429,305 shares as of December 31, 2024 and 2025)</w:t>
            </w:r>
          </w:p>
        </w:tc>
        <w:tc>
          <w:tcPr>
            <w:tcW w:w="14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(2,172,819)</w:t>
            </w:r>
          </w:p>
        </w:tc>
        <w:tc>
          <w:tcPr>
            <w:tcW w:w="4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(2,172,819)</w:t>
            </w: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(loss) income</w:t>
            </w:r>
          </w:p>
        </w:tc>
        <w:tc>
          <w:tcPr>
            <w:tcW w:w="14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(11,919,310)</w:t>
            </w:r>
          </w:p>
        </w:tc>
        <w:tc>
          <w:tcPr>
            <w:tcW w:w="4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9,454,230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0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UP Fintech shareholders’ equity</w:t>
            </w:r>
          </w:p>
        </w:tc>
        <w:tc>
          <w:tcPr>
            <w:tcW w:w="12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655,234,014</w:t>
            </w:r>
          </w:p>
        </w:tc>
        <w:tc>
          <w:tcPr>
            <w:tcW w:w="22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spacing w:after="0"/>
              <w:rPr>
                <w:sz w:val="11"/>
                <w:szCs w:val="11"/>
                <w:color w:val="auto"/>
              </w:rPr>
            </w:pPr>
          </w:p>
        </w:tc>
        <w:tc>
          <w:tcPr>
            <w:tcW w:w="8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865,507,397</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auto"/>
              </w:rPr>
              <w:t>Non-controlling interests</w:t>
            </w:r>
          </w:p>
        </w:tc>
        <w:tc>
          <w:tcPr>
            <w:tcW w:w="14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(287,933)</w:t>
            </w:r>
          </w:p>
        </w:tc>
        <w:tc>
          <w:tcPr>
            <w:tcW w:w="480" w:type="dxa"/>
            <w:vAlign w:val="bottom"/>
          </w:tcPr>
          <w:p>
            <w:pPr>
              <w:spacing w:after="0"/>
              <w:rPr>
                <w:sz w:val="11"/>
                <w:szCs w:val="11"/>
                <w:color w:val="auto"/>
              </w:rPr>
            </w:pPr>
          </w:p>
        </w:tc>
        <w:tc>
          <w:tcPr>
            <w:tcW w:w="9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(275,132)</w:t>
            </w:r>
          </w:p>
        </w:tc>
        <w:tc>
          <w:tcPr>
            <w:tcW w:w="0" w:type="dxa"/>
            <w:vAlign w:val="bottom"/>
          </w:tcPr>
          <w:p>
            <w:pPr>
              <w:spacing w:after="0"/>
              <w:rPr>
                <w:sz w:val="1"/>
                <w:szCs w:val="1"/>
                <w:color w:val="auto"/>
              </w:rPr>
            </w:pPr>
          </w:p>
        </w:tc>
      </w:tr>
      <w:tr>
        <w:trPr>
          <w:trHeight w:val="128"/>
        </w:trPr>
        <w:tc>
          <w:tcPr>
            <w:tcW w:w="840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equity</w:t>
            </w:r>
          </w:p>
        </w:tc>
        <w:tc>
          <w:tcPr>
            <w:tcW w:w="12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654,946,081</w:t>
            </w:r>
          </w:p>
        </w:tc>
        <w:tc>
          <w:tcPr>
            <w:tcW w:w="22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spacing w:after="0"/>
              <w:rPr>
                <w:sz w:val="11"/>
                <w:szCs w:val="11"/>
                <w:color w:val="auto"/>
              </w:rPr>
            </w:pPr>
          </w:p>
        </w:tc>
        <w:tc>
          <w:tcPr>
            <w:tcW w:w="8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865,232,265</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 mezzanine equity and equity</w:t>
            </w: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6,391,312,469</w:t>
            </w:r>
          </w:p>
        </w:tc>
        <w:tc>
          <w:tcPr>
            <w:tcW w:w="2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8,226,531,037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-4011295</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-3136900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-2245360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-1722120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-1362075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-307975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-119380</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420" w:type="dxa"/>
            <w:vAlign w:val="bottom"/>
            <w:tcBorders>
              <w:bottom w:val="single" w:sz="8" w:color="auto"/>
            </w:tcBorders>
            <w:gridSpan w:val="5"/>
          </w:tcPr>
          <w:p>
            <w:pPr>
              <w:ind w:left="12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1380" w:type="dxa"/>
            <w:vAlign w:val="bottom"/>
            <w:tcBorders>
              <w:bottom w:val="single" w:sz="8" w:color="auto"/>
            </w:tcBorders>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340" w:type="dxa"/>
            <w:vAlign w:val="bottom"/>
            <w:tcBorders>
              <w:bottom w:val="single" w:sz="8" w:color="auto"/>
            </w:tcBorders>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1380" w:type="dxa"/>
            <w:vAlign w:val="bottom"/>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340" w:type="dxa"/>
            <w:vAlign w:val="bottom"/>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20"/>
              <w:spacing w:after="0" w:line="203" w:lineRule="exact"/>
              <w:rPr>
                <w:sz w:val="20"/>
                <w:szCs w:val="20"/>
                <w:color w:val="auto"/>
              </w:rPr>
            </w:pPr>
            <w:r>
              <w:rPr>
                <w:rFonts w:ascii="Times New Roman" w:cs="Times New Roman" w:eastAsia="Times New Roman" w:hAnsi="Times New Roman"/>
                <w:sz w:val="16"/>
                <w:szCs w:val="16"/>
                <w:color w:val="auto"/>
              </w:rPr>
              <w:t>Commissions</w:t>
            </w:r>
            <w:r>
              <w:rPr>
                <w:rFonts w:ascii="Times New Roman" w:cs="Times New Roman" w:eastAsia="Times New Roman" w:hAnsi="Times New Roman"/>
                <w:sz w:val="21"/>
                <w:szCs w:val="21"/>
                <w:color w:val="auto"/>
                <w:vertAlign w:val="superscript"/>
              </w:rPr>
              <w:t>(a)</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92,593,458</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159,045,052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266,834,904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120"/>
              <w:spacing w:after="0" w:line="203" w:lineRule="exact"/>
              <w:rPr>
                <w:sz w:val="20"/>
                <w:szCs w:val="20"/>
                <w:color w:val="auto"/>
              </w:rPr>
            </w:pPr>
            <w:r>
              <w:rPr>
                <w:rFonts w:ascii="Times New Roman" w:cs="Times New Roman" w:eastAsia="Times New Roman" w:hAnsi="Times New Roman"/>
                <w:sz w:val="16"/>
                <w:szCs w:val="16"/>
                <w:color w:val="auto"/>
              </w:rPr>
              <w:t>Interest related income</w:t>
            </w:r>
            <w:r>
              <w:rPr>
                <w:rFonts w:ascii="Times New Roman" w:cs="Times New Roman" w:eastAsia="Times New Roman" w:hAnsi="Times New Roman"/>
                <w:sz w:val="21"/>
                <w:szCs w:val="21"/>
                <w:color w:val="auto"/>
                <w:vertAlign w:val="superscript"/>
              </w:rPr>
              <w:t>(a)</w:t>
            </w: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Financing service fees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12,178,838</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11,311,560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10,722,961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240"/>
              <w:spacing w:after="0" w:line="203" w:lineRule="exact"/>
              <w:rPr>
                <w:sz w:val="20"/>
                <w:szCs w:val="20"/>
                <w:color w:val="auto"/>
              </w:rPr>
            </w:pPr>
            <w:r>
              <w:rPr>
                <w:rFonts w:ascii="Times New Roman" w:cs="Times New Roman" w:eastAsia="Times New Roman" w:hAnsi="Times New Roman"/>
                <w:sz w:val="16"/>
                <w:szCs w:val="16"/>
                <w:color w:val="auto"/>
              </w:rPr>
              <w:t>Interest income</w:t>
            </w:r>
            <w:r>
              <w:rPr>
                <w:rFonts w:ascii="Times New Roman" w:cs="Times New Roman" w:eastAsia="Times New Roman" w:hAnsi="Times New Roman"/>
                <w:sz w:val="21"/>
                <w:szCs w:val="21"/>
                <w:color w:val="auto"/>
                <w:vertAlign w:val="superscript"/>
              </w:rPr>
              <w:t>(a)</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149,291,006</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191,754,746</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256,997,093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revenues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18,444,293</w:t>
            </w:r>
          </w:p>
        </w:tc>
        <w:tc>
          <w:tcPr>
            <w:tcW w:w="2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29,430,071</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77,509,959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272,507,595</w:t>
            </w:r>
          </w:p>
        </w:tc>
        <w:tc>
          <w:tcPr>
            <w:tcW w:w="2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391,541,429</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612,064,917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Pr>
          <w:p>
            <w:pPr>
              <w:ind w:left="120"/>
              <w:spacing w:after="0" w:line="196" w:lineRule="exact"/>
              <w:rPr>
                <w:sz w:val="20"/>
                <w:szCs w:val="20"/>
                <w:color w:val="auto"/>
              </w:rPr>
            </w:pPr>
            <w:r>
              <w:rPr>
                <w:rFonts w:ascii="Times New Roman" w:cs="Times New Roman" w:eastAsia="Times New Roman" w:hAnsi="Times New Roman"/>
                <w:sz w:val="16"/>
                <w:szCs w:val="16"/>
                <w:color w:val="auto"/>
              </w:rPr>
              <w:t>Interest expense</w:t>
            </w:r>
            <w:r>
              <w:rPr>
                <w:rFonts w:ascii="Times New Roman" w:cs="Times New Roman" w:eastAsia="Times New Roman" w:hAnsi="Times New Roman"/>
                <w:sz w:val="21"/>
                <w:szCs w:val="21"/>
                <w:color w:val="auto"/>
                <w:vertAlign w:val="superscript"/>
              </w:rPr>
              <w:t>(a)</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(46,957,657)</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(60,803,516)</w:t>
            </w:r>
          </w:p>
        </w:tc>
        <w:tc>
          <w:tcPr>
            <w:tcW w:w="26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(73,355,788)</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net revenues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225,549,938</w:t>
            </w:r>
          </w:p>
        </w:tc>
        <w:tc>
          <w:tcPr>
            <w:tcW w:w="2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330,737,913</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538,709,129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cost and expenses:</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Execution and clearing</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(9,084,089)</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(14,651,612)</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(20,537,788)</w:t>
            </w:r>
          </w:p>
        </w:tc>
        <w:tc>
          <w:tcPr>
            <w:tcW w:w="0" w:type="dxa"/>
            <w:vAlign w:val="bottom"/>
          </w:tcPr>
          <w:p>
            <w:pPr>
              <w:spacing w:after="0"/>
              <w:rPr>
                <w:sz w:val="1"/>
                <w:szCs w:val="1"/>
                <w:color w:val="auto"/>
              </w:rPr>
            </w:pPr>
          </w:p>
        </w:tc>
      </w:tr>
      <w:tr>
        <w:trPr>
          <w:trHeight w:val="189"/>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compensation and benefits (including share-based compensation</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of US$10,147,362, US$9,736,901 and US$15,609,141 for the years ended</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December 31, 2023, 2024 and 2025, respectively)</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(100,750,644)</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(122,365,537)</w:t>
            </w: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(167,169,609)</w:t>
            </w:r>
          </w:p>
        </w:tc>
        <w:tc>
          <w:tcPr>
            <w:tcW w:w="0" w:type="dxa"/>
            <w:vAlign w:val="bottom"/>
          </w:tcPr>
          <w:p>
            <w:pPr>
              <w:spacing w:after="0"/>
              <w:rPr>
                <w:sz w:val="1"/>
                <w:szCs w:val="1"/>
                <w:color w:val="auto"/>
              </w:rPr>
            </w:pPr>
          </w:p>
        </w:tc>
      </w:tr>
      <w:tr>
        <w:trPr>
          <w:trHeight w:val="20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Occupancy, depreciation and amortization</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(9,387,056)</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(8,554,315)</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(10,491,419)</w:t>
            </w:r>
          </w:p>
        </w:tc>
        <w:tc>
          <w:tcPr>
            <w:tcW w:w="0" w:type="dxa"/>
            <w:vAlign w:val="bottom"/>
          </w:tcPr>
          <w:p>
            <w:pPr>
              <w:spacing w:after="0"/>
              <w:rPr>
                <w:sz w:val="1"/>
                <w:szCs w:val="1"/>
                <w:color w:val="auto"/>
              </w:rPr>
            </w:pPr>
          </w:p>
        </w:tc>
      </w:tr>
      <w:tr>
        <w:trPr>
          <w:trHeight w:val="203"/>
        </w:trPr>
        <w:tc>
          <w:tcPr>
            <w:tcW w:w="6640" w:type="dxa"/>
            <w:vAlign w:val="bottom"/>
          </w:tcPr>
          <w:p>
            <w:pPr>
              <w:ind w:left="120"/>
              <w:spacing w:after="0" w:line="203" w:lineRule="exact"/>
              <w:rPr>
                <w:sz w:val="20"/>
                <w:szCs w:val="20"/>
                <w:color w:val="auto"/>
              </w:rPr>
            </w:pPr>
            <w:r>
              <w:rPr>
                <w:rFonts w:ascii="Times New Roman" w:cs="Times New Roman" w:eastAsia="Times New Roman" w:hAnsi="Times New Roman"/>
                <w:sz w:val="16"/>
                <w:szCs w:val="16"/>
                <w:color w:val="auto"/>
              </w:rPr>
              <w:t>Communication and market data</w:t>
            </w:r>
            <w:r>
              <w:rPr>
                <w:rFonts w:ascii="Times New Roman" w:cs="Times New Roman" w:eastAsia="Times New Roman" w:hAnsi="Times New Roman"/>
                <w:sz w:val="21"/>
                <w:szCs w:val="21"/>
                <w:color w:val="auto"/>
                <w:vertAlign w:val="superscript"/>
              </w:rPr>
              <w:t>(a)</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(30,831,488)</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(38,893,381)</w:t>
            </w:r>
          </w:p>
        </w:tc>
        <w:tc>
          <w:tcPr>
            <w:tcW w:w="26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(46,456,565)</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Marketing and branding</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(20,859,834)</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(28,530,053)</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(49,462,729)</w:t>
            </w:r>
          </w:p>
        </w:tc>
        <w:tc>
          <w:tcPr>
            <w:tcW w:w="0" w:type="dxa"/>
            <w:vAlign w:val="bottom"/>
          </w:tcPr>
          <w:p>
            <w:pPr>
              <w:spacing w:after="0"/>
              <w:rPr>
                <w:sz w:val="1"/>
                <w:szCs w:val="1"/>
                <w:color w:val="auto"/>
              </w:rPr>
            </w:pPr>
          </w:p>
        </w:tc>
      </w:tr>
      <w:tr>
        <w:trPr>
          <w:trHeight w:val="202"/>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(21,791,263)</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(39,278,674)</w:t>
            </w:r>
          </w:p>
        </w:tc>
        <w:tc>
          <w:tcPr>
            <w:tcW w:w="26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(36,209,499)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operating cost and expenses</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(192,704,374)</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(252,273,572)</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(330,327,609)</w:t>
            </w:r>
          </w:p>
        </w:tc>
        <w:tc>
          <w:tcPr>
            <w:tcW w:w="0" w:type="dxa"/>
            <w:vAlign w:val="bottom"/>
          </w:tcPr>
          <w:p>
            <w:pPr>
              <w:spacing w:after="0"/>
              <w:rPr>
                <w:sz w:val="1"/>
                <w:szCs w:val="1"/>
                <w:color w:val="auto"/>
              </w:rPr>
            </w:pPr>
          </w:p>
        </w:tc>
      </w:tr>
      <w:tr>
        <w:trPr>
          <w:trHeight w:val="196"/>
        </w:trPr>
        <w:tc>
          <w:tcPr>
            <w:tcW w:w="6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Other income (expenses):</w:t>
            </w:r>
          </w:p>
        </w:tc>
        <w:tc>
          <w:tcPr>
            <w:tcW w:w="13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Others, net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13,148,173</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3,299,308</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(939,034)</w:t>
            </w:r>
          </w:p>
        </w:tc>
        <w:tc>
          <w:tcPr>
            <w:tcW w:w="0" w:type="dxa"/>
            <w:vAlign w:val="bottom"/>
          </w:tcPr>
          <w:p>
            <w:pPr>
              <w:spacing w:after="0"/>
              <w:rPr>
                <w:sz w:val="1"/>
                <w:szCs w:val="1"/>
                <w:color w:val="auto"/>
              </w:rPr>
            </w:pPr>
          </w:p>
        </w:tc>
      </w:tr>
      <w:tr>
        <w:trPr>
          <w:trHeight w:val="196"/>
        </w:trPr>
        <w:tc>
          <w:tcPr>
            <w:tcW w:w="6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45,993,737</w:t>
            </w:r>
          </w:p>
        </w:tc>
        <w:tc>
          <w:tcPr>
            <w:tcW w:w="220" w:type="dxa"/>
            <w:vAlign w:val="bottom"/>
            <w:tcBorders>
              <w:top w:val="single" w:sz="8" w:color="CFF0FC"/>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81,763,649</w:t>
            </w: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207,442,486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(12,986,310)</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(20,409,721)</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(35,960,865)</w:t>
            </w:r>
          </w:p>
        </w:tc>
        <w:tc>
          <w:tcPr>
            <w:tcW w:w="0" w:type="dxa"/>
            <w:vAlign w:val="bottom"/>
          </w:tcPr>
          <w:p>
            <w:pPr>
              <w:spacing w:after="0"/>
              <w:rPr>
                <w:sz w:val="1"/>
                <w:szCs w:val="1"/>
                <w:color w:val="auto"/>
              </w:rPr>
            </w:pPr>
          </w:p>
        </w:tc>
      </w:tr>
      <w:tr>
        <w:trPr>
          <w:trHeight w:val="196"/>
        </w:trPr>
        <w:tc>
          <w:tcPr>
            <w:tcW w:w="6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33,007,427</w:t>
            </w:r>
          </w:p>
        </w:tc>
        <w:tc>
          <w:tcPr>
            <w:tcW w:w="220" w:type="dxa"/>
            <w:vAlign w:val="bottom"/>
            <w:tcBorders>
              <w:top w:val="single" w:sz="8" w:color="CFF0FC"/>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61,353,928</w:t>
            </w: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171,481,621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Less:</w:t>
            </w: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interests</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(98,285)</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(4,477)</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Accretion of redeemable non-controlling interests to redemption value</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(542,187)</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(630,485)</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(533,188)</w:t>
            </w:r>
          </w:p>
        </w:tc>
        <w:tc>
          <w:tcPr>
            <w:tcW w:w="0" w:type="dxa"/>
            <w:vAlign w:val="bottom"/>
          </w:tcPr>
          <w:p>
            <w:pPr>
              <w:spacing w:after="0"/>
              <w:rPr>
                <w:sz w:val="1"/>
                <w:szCs w:val="1"/>
                <w:color w:val="auto"/>
              </w:rPr>
            </w:pPr>
          </w:p>
        </w:tc>
      </w:tr>
      <w:tr>
        <w:trPr>
          <w:trHeight w:val="196"/>
        </w:trPr>
        <w:tc>
          <w:tcPr>
            <w:tcW w:w="6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ordinary shareholders of UP Fintech</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32,563,525</w:t>
            </w:r>
          </w:p>
        </w:tc>
        <w:tc>
          <w:tcPr>
            <w:tcW w:w="220" w:type="dxa"/>
            <w:vAlign w:val="bottom"/>
            <w:tcBorders>
              <w:top w:val="single" w:sz="8" w:color="CFF0FC"/>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60,727,920</w:t>
            </w: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170,899,537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 per share attributable to ordinary shareholders of UP Fintech:</w:t>
            </w: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0.014</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0.014</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0.024</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shares used in calculating net income per ordinary share:</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2,325,338,439</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2,404,640,854</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2,651,608,820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2,427,268,831</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2,534,097,315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2,807,732,382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comprehensive (loss) income, net of tax:</w:t>
            </w: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Unrealized (loss) gain on available-for-sale securities (net of tax effect of</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nil, nil and nil for the years ended December 31, 2023, 2024 and</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2025, respectively)</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(450,325)</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343,892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Change in cumulative foreign currency translation adjustment</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(545,498)</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(9,022,611)</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19,154,156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32,011,604</w:t>
            </w:r>
          </w:p>
        </w:tc>
        <w:tc>
          <w:tcPr>
            <w:tcW w:w="220" w:type="dxa"/>
            <w:vAlign w:val="bottom"/>
            <w:tcBorders>
              <w:top w:val="single" w:sz="8" w:color="CFF0FC"/>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52,675,209</w:t>
            </w: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192,843,168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Comprehensive (loss) income attributable to non-controlling interests</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(92,526)</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3,121</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Accretion of redeemable non-controlling interests to redemption value</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(542,187)</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(630,485)</w:t>
            </w:r>
          </w:p>
        </w:tc>
        <w:tc>
          <w:tcPr>
            <w:tcW w:w="26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(533,188)</w:t>
            </w:r>
          </w:p>
        </w:tc>
        <w:tc>
          <w:tcPr>
            <w:tcW w:w="0" w:type="dxa"/>
            <w:vAlign w:val="bottom"/>
          </w:tcPr>
          <w:p>
            <w:pPr>
              <w:spacing w:after="0"/>
              <w:rPr>
                <w:sz w:val="1"/>
                <w:szCs w:val="1"/>
                <w:color w:val="auto"/>
              </w:rPr>
            </w:pPr>
          </w:p>
        </w:tc>
      </w:tr>
      <w:tr>
        <w:trPr>
          <w:trHeight w:val="180"/>
        </w:trPr>
        <w:tc>
          <w:tcPr>
            <w:tcW w:w="6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Comprehensive income attributable to ordinary shareholders of</w:t>
            </w:r>
          </w:p>
        </w:tc>
        <w:tc>
          <w:tcPr>
            <w:tcW w:w="13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31,561,943</w:t>
            </w:r>
          </w:p>
        </w:tc>
        <w:tc>
          <w:tcPr>
            <w:tcW w:w="220" w:type="dxa"/>
            <w:vAlign w:val="bottom"/>
            <w:shd w:val="clear" w:color="auto" w:fill="CFF0FC"/>
          </w:tcPr>
          <w:p>
            <w:pPr>
              <w:spacing w:after="0"/>
              <w:rPr>
                <w:sz w:val="15"/>
                <w:szCs w:val="15"/>
                <w:color w:val="auto"/>
              </w:rPr>
            </w:pPr>
          </w:p>
        </w:tc>
        <w:tc>
          <w:tcPr>
            <w:tcW w:w="13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52,041,603</w:t>
            </w:r>
          </w:p>
        </w:tc>
        <w:tc>
          <w:tcPr>
            <w:tcW w:w="22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192,273,078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640" w:type="dxa"/>
            <w:vAlign w:val="bottom"/>
            <w:tcBorders>
              <w:bottom w:val="single" w:sz="8" w:color="CFF0FC"/>
            </w:tcBorders>
            <w:shd w:val="clear" w:color="auto" w:fill="CFF0FC"/>
          </w:tcPr>
          <w:p>
            <w:pPr>
              <w:ind w:left="80"/>
              <w:spacing w:after="0" w:line="178" w:lineRule="exact"/>
              <w:rPr>
                <w:sz w:val="20"/>
                <w:szCs w:val="20"/>
                <w:color w:val="auto"/>
              </w:rPr>
            </w:pPr>
            <w:r>
              <w:rPr>
                <w:rFonts w:ascii="Times New Roman" w:cs="Times New Roman" w:eastAsia="Times New Roman" w:hAnsi="Times New Roman"/>
                <w:sz w:val="16"/>
                <w:szCs w:val="16"/>
                <w:b w:val="1"/>
                <w:bCs w:val="1"/>
                <w:color w:val="auto"/>
              </w:rPr>
              <w:t>UP Fintech</w:t>
            </w:r>
          </w:p>
        </w:tc>
        <w:tc>
          <w:tcPr>
            <w:tcW w:w="138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-4885690</wp:posOffset>
            </wp:positionV>
            <wp:extent cx="7683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-4885690</wp:posOffset>
            </wp:positionV>
            <wp:extent cx="685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-4885690</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-4619625</wp:posOffset>
            </wp:positionV>
            <wp:extent cx="768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-4619625</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-4619625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-3316605</wp:posOffset>
            </wp:positionV>
            <wp:extent cx="768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-3316605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-3316605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-3051175</wp:posOffset>
            </wp:positionV>
            <wp:extent cx="768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-3051175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-2776855</wp:posOffset>
            </wp:positionV>
            <wp:extent cx="768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-2776855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-2245360</wp:posOffset>
            </wp:positionV>
            <wp:extent cx="7683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-2245360</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-685165</wp:posOffset>
            </wp:positionV>
            <wp:extent cx="768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-685165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7683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7683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0" w:hanging="372"/>
        <w:spacing w:after="0"/>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revenues, costs and expenses resulting from transactions with related parties for the years ended December 31, 2023, 2024 and</w:t>
      </w:r>
    </w:p>
    <w:p>
      <w:pPr>
        <w:spacing w:after="0" w:line="2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(Note 16):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3900" w:type="dxa"/>
            <w:vAlign w:val="bottom"/>
            <w:tcBorders>
              <w:bottom w:val="single" w:sz="8" w:color="auto"/>
            </w:tcBorders>
            <w:gridSpan w:val="5"/>
          </w:tcPr>
          <w:p>
            <w:pPr>
              <w:ind w:left="11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220" w:type="dxa"/>
            <w:vAlign w:val="bottom"/>
            <w:tcBorders>
              <w:bottom w:val="single" w:sz="8" w:color="auto"/>
            </w:tcBorders>
          </w:tcPr>
          <w:p>
            <w:pPr>
              <w:spacing w:after="0"/>
              <w:rPr>
                <w:sz w:val="20"/>
                <w:szCs w:val="20"/>
                <w:color w:val="auto"/>
              </w:rPr>
            </w:pPr>
          </w:p>
        </w:tc>
      </w:tr>
      <w:tr>
        <w:trPr>
          <w:trHeight w:val="210"/>
        </w:trPr>
        <w:tc>
          <w:tcPr>
            <w:tcW w:w="6120" w:type="dxa"/>
            <w:vAlign w:val="bottom"/>
          </w:tcPr>
          <w:p>
            <w:pPr>
              <w:spacing w:after="0"/>
              <w:rPr>
                <w:sz w:val="18"/>
                <w:szCs w:val="18"/>
                <w:color w:val="auto"/>
              </w:rPr>
            </w:pPr>
          </w:p>
        </w:tc>
        <w:tc>
          <w:tcPr>
            <w:tcW w:w="16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7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6120" w:type="dxa"/>
            <w:vAlign w:val="bottom"/>
          </w:tcPr>
          <w:p>
            <w:pPr>
              <w:spacing w:after="0"/>
              <w:rPr>
                <w:sz w:val="18"/>
                <w:szCs w:val="18"/>
                <w:color w:val="auto"/>
              </w:rPr>
            </w:pPr>
          </w:p>
        </w:tc>
        <w:tc>
          <w:tcPr>
            <w:tcW w:w="160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160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Commissions</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122,113</w:t>
            </w:r>
          </w:p>
        </w:tc>
        <w:tc>
          <w:tcPr>
            <w:tcW w:w="17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174,250</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163,947</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Interest related income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1,379,238</w:t>
            </w:r>
          </w:p>
        </w:tc>
        <w:tc>
          <w:tcPr>
            <w:tcW w:w="17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1,601,526</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469,172</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(372,961)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(2,074,668)</w:t>
            </w: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Communication and market data</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(150,360)</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(116,150)</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2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70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Class A ordinary shares</w:t>
            </w:r>
          </w:p>
        </w:tc>
        <w:tc>
          <w:tcPr>
            <w:tcW w:w="220" w:type="dxa"/>
            <w:vAlign w:val="bottom"/>
          </w:tcPr>
          <w:p>
            <w:pPr>
              <w:spacing w:after="0"/>
              <w:rPr>
                <w:sz w:val="12"/>
                <w:szCs w:val="12"/>
                <w:color w:val="auto"/>
              </w:rPr>
            </w:pPr>
          </w:p>
        </w:tc>
        <w:tc>
          <w:tcPr>
            <w:tcW w:w="1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B ordinary shares</w:t>
            </w:r>
          </w:p>
        </w:tc>
        <w:tc>
          <w:tcPr>
            <w:tcW w:w="220" w:type="dxa"/>
            <w:vAlign w:val="bottom"/>
          </w:tcPr>
          <w:p>
            <w:pPr>
              <w:spacing w:after="0"/>
              <w:rPr>
                <w:sz w:val="12"/>
                <w:szCs w:val="12"/>
                <w:color w:val="auto"/>
              </w:rPr>
            </w:pPr>
          </w:p>
        </w:tc>
        <w:tc>
          <w:tcPr>
            <w:tcW w:w="208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Treasury stock purchases</w:t>
            </w: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4"/>
            <w:vMerge w:val="continue"/>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January 1, 2023</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2,221,403,067</w:t>
            </w:r>
          </w:p>
        </w:tc>
        <w:tc>
          <w:tcPr>
            <w:tcW w:w="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22,213</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97,611,722</w:t>
            </w:r>
          </w:p>
        </w:tc>
        <w:tc>
          <w:tcPr>
            <w:tcW w:w="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976</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10,429,305</w:t>
            </w:r>
          </w:p>
        </w:tc>
        <w:tc>
          <w:tcPr>
            <w:tcW w:w="1260" w:type="dxa"/>
            <w:vAlign w:val="bottom"/>
            <w:gridSpan w:val="3"/>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(2,172,819)</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495,705,684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Class A ordinary shares upon settlement of share-based awards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31,489,778</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315</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Class B ordinary shares converted into Class A ordinary shares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contribution from non-controlling interests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10,144,515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of statutory reserve</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Accretion of redeemable non-controlling interests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(542,187)</w:t>
            </w: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4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2,252,892,845</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22,528</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97,611,722</w:t>
            </w: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976</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10,429,305</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(2,172,819)</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505,448,080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4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Issuance of Class A ordinary shares upon settlement of share-based awards</w:t>
            </w: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31,071,505</w:t>
            </w:r>
          </w:p>
        </w:tc>
        <w:tc>
          <w:tcPr>
            <w:tcW w:w="220" w:type="dxa"/>
            <w:vAlign w:val="bottom"/>
            <w:tcBorders>
              <w:top w:val="single" w:sz="8" w:color="CFF0FC"/>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311</w:t>
            </w:r>
          </w:p>
        </w:tc>
        <w:tc>
          <w:tcPr>
            <w:tcW w:w="220" w:type="dxa"/>
            <w:vAlign w:val="bottom"/>
            <w:tcBorders>
              <w:top w:val="single" w:sz="8" w:color="CFF0F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84,799</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ordinary shares upon follow-on public offering</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258,750,000</w:t>
            </w:r>
          </w:p>
        </w:tc>
        <w:tc>
          <w:tcPr>
            <w:tcW w:w="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2,588</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104,394,424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9,733,912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Provision of statutory reserve</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of redeemable non-controlling interests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(630,485)</w:t>
            </w:r>
          </w:p>
        </w:tc>
        <w:tc>
          <w:tcPr>
            <w:tcW w:w="0" w:type="dxa"/>
            <w:vAlign w:val="bottom"/>
          </w:tcPr>
          <w:p>
            <w:pPr>
              <w:spacing w:after="0"/>
              <w:rPr>
                <w:sz w:val="1"/>
                <w:szCs w:val="1"/>
                <w:color w:val="auto"/>
              </w:rPr>
            </w:pPr>
          </w:p>
        </w:tc>
      </w:tr>
      <w:tr>
        <w:trPr>
          <w:trHeight w:val="149"/>
        </w:trPr>
        <w:tc>
          <w:tcPr>
            <w:tcW w:w="4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2,542,714,350</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25,427</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97,611,722</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976</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10,429,305</w:t>
            </w:r>
          </w:p>
        </w:tc>
        <w:tc>
          <w:tcPr>
            <w:tcW w:w="12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(2,172,819)</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619,030,730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Retrospective application</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Class A ordinary shares upon settlement of share-based awards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37,491,475</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100,522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15,605,180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of statutory reserve</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Accretion of redeemable non-controlling interests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(533,188)</w:t>
            </w:r>
          </w:p>
        </w:tc>
        <w:tc>
          <w:tcPr>
            <w:tcW w:w="0" w:type="dxa"/>
            <w:vAlign w:val="bottom"/>
          </w:tcPr>
          <w:p>
            <w:pPr>
              <w:spacing w:after="0"/>
              <w:rPr>
                <w:sz w:val="1"/>
                <w:szCs w:val="1"/>
                <w:color w:val="auto"/>
              </w:rPr>
            </w:pPr>
          </w:p>
        </w:tc>
      </w:tr>
      <w:tr>
        <w:trPr>
          <w:trHeight w:val="149"/>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2,580,205,825</w:t>
            </w: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25,802</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97,611,722</w:t>
            </w: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976</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10,429,305</w:t>
            </w: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(2,172,819)</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634,203,244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-1782445</wp:posOffset>
            </wp:positionV>
            <wp:extent cx="685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-1765300</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-1782445</wp:posOffset>
            </wp:positionV>
            <wp:extent cx="685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-1765300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-1782445</wp:posOffset>
            </wp:positionV>
            <wp:extent cx="685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-1765300</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-1782445</wp:posOffset>
            </wp:positionV>
            <wp:extent cx="685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-1765300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-1782445</wp:posOffset>
            </wp:positionV>
            <wp:extent cx="685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-1765300</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-1782445</wp:posOffset>
            </wp:positionV>
            <wp:extent cx="685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-1765300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-1782445</wp:posOffset>
            </wp:positionV>
            <wp:extent cx="7747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-1765300</wp:posOffset>
            </wp:positionV>
            <wp:extent cx="7747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-25400</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-8255</wp:posOffset>
            </wp:positionV>
            <wp:extent cx="6858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-25400</wp:posOffset>
            </wp:positionV>
            <wp:extent cx="685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-8255</wp:posOffset>
            </wp:positionV>
            <wp:extent cx="685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-25400</wp:posOffset>
            </wp:positionV>
            <wp:extent cx="685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-8255</wp:posOffset>
            </wp:positionV>
            <wp:extent cx="685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685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85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6858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685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6858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Statutory</w:t>
            </w:r>
          </w:p>
        </w:tc>
        <w:tc>
          <w:tcPr>
            <w:tcW w:w="2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300" w:type="dxa"/>
            <w:vAlign w:val="bottom"/>
            <w:gridSpan w:val="2"/>
            <w:vMerge w:val="continue"/>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deficit)/retained</w:t>
            </w:r>
          </w:p>
        </w:tc>
        <w:tc>
          <w:tcPr>
            <w:tcW w:w="13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2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January 1, 2023</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6,171,627</w:t>
            </w:r>
          </w:p>
        </w:tc>
        <w:tc>
          <w:tcPr>
            <w:tcW w:w="1520" w:type="dxa"/>
            <w:vAlign w:val="bottom"/>
            <w:gridSpan w:val="3"/>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(2,231,411)</w:t>
            </w: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(50,366,734)</w:t>
            </w: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(142,644)</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446,986,892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Class A ordinary shares upon settlement of share-based awards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140,383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Class B ordinary shares converted into Class A ordinary shares</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contribution from non-controlling interests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2,847</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10,147,362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of statutory reserve</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2,339,412</w:t>
            </w:r>
          </w:p>
        </w:tc>
        <w:tc>
          <w:tcPr>
            <w:tcW w:w="24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(2,339,412)</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(551,257)</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5,759</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(545,498)</w:t>
            </w: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(450,325)</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(450,325)</w:t>
            </w: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Accretion of redeemable non-controlling interests</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(28,536)</w:t>
            </w:r>
          </w:p>
        </w:tc>
        <w:tc>
          <w:tcPr>
            <w:tcW w:w="1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(570,723)</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33,105,712</w:t>
            </w:r>
          </w:p>
        </w:tc>
        <w:tc>
          <w:tcPr>
            <w:tcW w:w="22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(98,285)</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33,007,427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8,511,039</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(3,232,993)</w:t>
            </w:r>
          </w:p>
        </w:tc>
        <w:tc>
          <w:tcPr>
            <w:tcW w:w="130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(19,600,434)</w:t>
            </w:r>
          </w:p>
        </w:tc>
        <w:tc>
          <w:tcPr>
            <w:tcW w:w="130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(260,859)</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488,715,518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82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Issuance of Class A ordinary shares upon settlement of share-based awards</w:t>
            </w:r>
          </w:p>
        </w:tc>
        <w:tc>
          <w:tcPr>
            <w:tcW w:w="10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1"/>
                <w:szCs w:val="11"/>
                <w:color w:val="auto"/>
              </w:rPr>
            </w:pPr>
          </w:p>
        </w:tc>
        <w:tc>
          <w:tcPr>
            <w:tcW w:w="10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1"/>
                <w:szCs w:val="11"/>
                <w:color w:val="auto"/>
              </w:rPr>
            </w:pPr>
          </w:p>
        </w:tc>
        <w:tc>
          <w:tcPr>
            <w:tcW w:w="10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1"/>
                <w:szCs w:val="11"/>
                <w:color w:val="auto"/>
              </w:rPr>
            </w:pPr>
          </w:p>
        </w:tc>
        <w:tc>
          <w:tcPr>
            <w:tcW w:w="10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1"/>
                <w:szCs w:val="11"/>
                <w:color w:val="auto"/>
              </w:rPr>
            </w:pPr>
          </w:p>
        </w:tc>
        <w:tc>
          <w:tcPr>
            <w:tcW w:w="11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85,110</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ordinary shares upon follow-on public offering</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104,397,012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2,989</w:t>
            </w: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9,736,901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Provision of statutory reserve</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3,914,424</w:t>
            </w: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(3,914,424)</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(9,030,209)</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7,598</w:t>
            </w:r>
          </w:p>
        </w:tc>
        <w:tc>
          <w:tcPr>
            <w:tcW w:w="22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(9,022,611)</w:t>
            </w: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343,892</w:t>
            </w:r>
          </w:p>
        </w:tc>
        <w:tc>
          <w:tcPr>
            <w:tcW w:w="2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343,892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of redeemable non-controlling interests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(33,184)</w:t>
            </w: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(663,669)</w:t>
            </w: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61,358,405</w:t>
            </w:r>
          </w:p>
        </w:tc>
        <w:tc>
          <w:tcPr>
            <w:tcW w:w="2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(4,477)</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61,353,928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12,425,463</w:t>
            </w:r>
          </w:p>
        </w:tc>
        <w:tc>
          <w:tcPr>
            <w:tcW w:w="240" w:type="dxa"/>
            <w:vAlign w:val="bottom"/>
          </w:tcPr>
          <w:p>
            <w:pPr>
              <w:spacing w:after="0"/>
              <w:rPr>
                <w:sz w:val="12"/>
                <w:szCs w:val="12"/>
                <w:color w:val="auto"/>
              </w:rPr>
            </w:pPr>
          </w:p>
        </w:tc>
        <w:tc>
          <w:tcPr>
            <w:tcW w:w="12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(11,919,310)</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37,843,547</w:t>
            </w:r>
          </w:p>
        </w:tc>
        <w:tc>
          <w:tcPr>
            <w:tcW w:w="220" w:type="dxa"/>
            <w:vAlign w:val="bottom"/>
          </w:tcPr>
          <w:p>
            <w:pPr>
              <w:spacing w:after="0"/>
              <w:rPr>
                <w:sz w:val="12"/>
                <w:szCs w:val="12"/>
                <w:color w:val="auto"/>
              </w:rPr>
            </w:pPr>
          </w:p>
        </w:tc>
        <w:tc>
          <w:tcPr>
            <w:tcW w:w="13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(287,933)</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654,946,081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Retrospective application</w:t>
            </w:r>
          </w:p>
        </w:tc>
        <w:tc>
          <w:tcPr>
            <w:tcW w:w="10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2,294,229</w:t>
            </w:r>
          </w:p>
        </w:tc>
        <w:tc>
          <w:tcPr>
            <w:tcW w:w="22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2,294,229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Class A ordinary shares upon settlement of share-based awards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3,961</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15,609,141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of statutory reserve</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3,161,586</w:t>
            </w:r>
          </w:p>
        </w:tc>
        <w:tc>
          <w:tcPr>
            <w:tcW w:w="24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(3,161,586)</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19,166,149</w:t>
            </w:r>
          </w:p>
        </w:tc>
        <w:tc>
          <w:tcPr>
            <w:tcW w:w="2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(11,993)</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19,154,156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2,207,391</w:t>
            </w:r>
          </w:p>
        </w:tc>
        <w:tc>
          <w:tcPr>
            <w:tcW w:w="22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2,207,391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Accretion of redeemable non-controlling interests</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(28,063)</w:t>
            </w:r>
          </w:p>
        </w:tc>
        <w:tc>
          <w:tcPr>
            <w:tcW w:w="1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(561,251)</w:t>
            </w: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171,432,725</w:t>
            </w: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48,896</w:t>
            </w: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171,481,621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15,587,049</w:t>
            </w: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9,454,230</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208,408,915</w:t>
            </w:r>
          </w:p>
        </w:tc>
        <w:tc>
          <w:tcPr>
            <w:tcW w:w="2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(275,132)</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865,232,265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-1791335</wp:posOffset>
            </wp:positionV>
            <wp:extent cx="7747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-1773555</wp:posOffset>
            </wp:positionV>
            <wp:extent cx="7747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-1791335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-1773555</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-1791335</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-1773555</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-1791335</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-1773555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-1791335</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-1010920</wp:posOffset>
            </wp:positionV>
            <wp:extent cx="7747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-1010920</wp:posOffset>
            </wp:positionV>
            <wp:extent cx="685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-1010920</wp:posOffset>
            </wp:positionV>
            <wp:extent cx="6858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-1010920</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-25400</wp:posOffset>
            </wp:positionV>
            <wp:extent cx="7747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-8255</wp:posOffset>
            </wp:positionV>
            <wp:extent cx="7747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-25400</wp:posOffset>
            </wp:positionV>
            <wp:extent cx="685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-8255</wp:posOffset>
            </wp:positionV>
            <wp:extent cx="6858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-25400</wp:posOffset>
            </wp:positionV>
            <wp:extent cx="685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6858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6858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UP FINTECH HOLDING LIMITED CONSOLIDATED STATEMENTS OF CASH FLOWS (All amounts in US$, except for share, per share data, or otherwise noted)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00" w:type="dxa"/>
            <w:vAlign w:val="bottom"/>
          </w:tcPr>
          <w:p>
            <w:pPr>
              <w:spacing w:after="0"/>
              <w:rPr>
                <w:sz w:val="14"/>
                <w:szCs w:val="14"/>
                <w:color w:val="auto"/>
              </w:rPr>
            </w:pPr>
          </w:p>
        </w:tc>
        <w:tc>
          <w:tcPr>
            <w:tcW w:w="274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00" w:type="dxa"/>
            <w:vAlign w:val="bottom"/>
          </w:tcPr>
          <w:p>
            <w:pPr>
              <w:spacing w:after="0"/>
              <w:rPr>
                <w:sz w:val="12"/>
                <w:szCs w:val="12"/>
                <w:color w:val="auto"/>
              </w:rPr>
            </w:pPr>
          </w:p>
        </w:tc>
        <w:tc>
          <w:tcPr>
            <w:tcW w:w="10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2"/>
                <w:szCs w:val="12"/>
                <w:color w:val="auto"/>
              </w:rPr>
            </w:pPr>
          </w:p>
        </w:tc>
        <w:tc>
          <w:tcPr>
            <w:tcW w:w="10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2"/>
                <w:szCs w:val="12"/>
                <w:color w:val="auto"/>
              </w:rPr>
            </w:pPr>
          </w:p>
        </w:tc>
      </w:tr>
      <w:tr>
        <w:trPr>
          <w:trHeight w:val="142"/>
        </w:trPr>
        <w:tc>
          <w:tcPr>
            <w:tcW w:w="7600" w:type="dxa"/>
            <w:vAlign w:val="bottom"/>
          </w:tcPr>
          <w:p>
            <w:pPr>
              <w:spacing w:after="0"/>
              <w:rPr>
                <w:sz w:val="12"/>
                <w:szCs w:val="12"/>
                <w:color w:val="auto"/>
              </w:rPr>
            </w:pPr>
          </w:p>
        </w:tc>
        <w:tc>
          <w:tcPr>
            <w:tcW w:w="108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2"/>
                <w:szCs w:val="12"/>
                <w:color w:val="auto"/>
              </w:rPr>
            </w:pPr>
          </w:p>
        </w:tc>
        <w:tc>
          <w:tcPr>
            <w:tcW w:w="108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2"/>
                <w:szCs w:val="12"/>
                <w:color w:val="auto"/>
              </w:rPr>
            </w:pPr>
          </w:p>
        </w:tc>
      </w:tr>
      <w:tr>
        <w:trPr>
          <w:trHeight w:val="148"/>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7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33,007,427</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61,353,928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171,481,621</w:t>
            </w:r>
          </w:p>
        </w:tc>
        <w:tc>
          <w:tcPr>
            <w:tcW w:w="100" w:type="dxa"/>
            <w:vAlign w:val="bottom"/>
          </w:tcPr>
          <w:p>
            <w:pPr>
              <w:spacing w:after="0"/>
              <w:rPr>
                <w:sz w:val="12"/>
                <w:szCs w:val="12"/>
                <w:color w:val="auto"/>
              </w:rPr>
            </w:pPr>
          </w:p>
        </w:tc>
      </w:tr>
      <w:tr>
        <w:trPr>
          <w:trHeight w:val="148"/>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Share-based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10,147,362</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9,736,901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15,609,141</w:t>
            </w:r>
          </w:p>
        </w:tc>
        <w:tc>
          <w:tcPr>
            <w:tcW w:w="100" w:type="dxa"/>
            <w:vAlign w:val="bottom"/>
          </w:tcPr>
          <w:p>
            <w:pPr>
              <w:spacing w:after="0"/>
              <w:rPr>
                <w:sz w:val="12"/>
                <w:szCs w:val="12"/>
                <w:color w:val="auto"/>
              </w:rPr>
            </w:pPr>
          </w:p>
        </w:tc>
      </w:tr>
      <w:tr>
        <w:trPr>
          <w:trHeight w:val="148"/>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2,838,552</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2,624,290</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2,894,716</w:t>
            </w:r>
          </w:p>
        </w:tc>
        <w:tc>
          <w:tcPr>
            <w:tcW w:w="100" w:type="dxa"/>
            <w:vAlign w:val="bottom"/>
            <w:shd w:val="clear" w:color="auto" w:fill="CFF0FC"/>
          </w:tcPr>
          <w:p>
            <w:pPr>
              <w:spacing w:after="0"/>
              <w:rPr>
                <w:sz w:val="12"/>
                <w:szCs w:val="12"/>
                <w:color w:val="auto"/>
              </w:rPr>
            </w:pPr>
          </w:p>
        </w:tc>
      </w:tr>
      <w:tr>
        <w:trPr>
          <w:trHeight w:val="148"/>
        </w:trPr>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Fair value change of financial instruments held, at fair value</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(16,142,109)</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(10,196,099)</w:t>
            </w:r>
          </w:p>
        </w:tc>
        <w:tc>
          <w:tcPr>
            <w:tcW w:w="36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(2,946,352)</w:t>
            </w:r>
          </w:p>
        </w:tc>
      </w:tr>
      <w:tr>
        <w:trPr>
          <w:trHeight w:val="149"/>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Loss on disposal of subsidiaries</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331,789</w:t>
            </w:r>
          </w:p>
        </w:tc>
        <w:tc>
          <w:tcPr>
            <w:tcW w:w="100" w:type="dxa"/>
            <w:vAlign w:val="bottom"/>
            <w:shd w:val="clear" w:color="auto" w:fill="CFF0FC"/>
          </w:tcPr>
          <w:p>
            <w:pPr>
              <w:spacing w:after="0"/>
              <w:rPr>
                <w:sz w:val="12"/>
                <w:szCs w:val="12"/>
                <w:color w:val="auto"/>
              </w:rPr>
            </w:pPr>
          </w:p>
        </w:tc>
      </w:tr>
      <w:tr>
        <w:trPr>
          <w:trHeight w:val="148"/>
        </w:trPr>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Gain from equity investments, net of impairments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(6,889)</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(210,511)</w:t>
            </w:r>
          </w:p>
        </w:tc>
        <w:tc>
          <w:tcPr>
            <w:tcW w:w="36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(225,800)</w:t>
            </w:r>
          </w:p>
        </w:tc>
      </w:tr>
      <w:tr>
        <w:trPr>
          <w:trHeight w:val="148"/>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363,417</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14,292,716</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1,332,327</w:t>
            </w:r>
          </w:p>
        </w:tc>
        <w:tc>
          <w:tcPr>
            <w:tcW w:w="100" w:type="dxa"/>
            <w:vAlign w:val="bottom"/>
            <w:shd w:val="clear" w:color="auto" w:fill="CFF0FC"/>
          </w:tcPr>
          <w:p>
            <w:pPr>
              <w:spacing w:after="0"/>
              <w:rPr>
                <w:sz w:val="12"/>
                <w:szCs w:val="12"/>
                <w:color w:val="auto"/>
              </w:rPr>
            </w:pPr>
          </w:p>
        </w:tc>
      </w:tr>
      <w:tr>
        <w:trPr>
          <w:trHeight w:val="148"/>
        </w:trPr>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721,537</w:t>
            </w:r>
          </w:p>
        </w:tc>
        <w:tc>
          <w:tcPr>
            <w:tcW w:w="100" w:type="dxa"/>
            <w:vAlign w:val="bottom"/>
          </w:tcPr>
          <w:p>
            <w:pPr>
              <w:spacing w:after="0"/>
              <w:rPr>
                <w:sz w:val="12"/>
                <w:szCs w:val="12"/>
                <w:color w:val="auto"/>
              </w:rPr>
            </w:pPr>
          </w:p>
        </w:tc>
      </w:tr>
      <w:tr>
        <w:trPr>
          <w:trHeight w:val="148"/>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Foreign currency exchange loss (gain)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3,122,874</w:t>
            </w: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(4,060,340)</w:t>
            </w:r>
          </w:p>
        </w:tc>
        <w:tc>
          <w:tcPr>
            <w:tcW w:w="3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(7,794,139)</w:t>
            </w:r>
          </w:p>
        </w:tc>
      </w:tr>
      <w:tr>
        <w:trPr>
          <w:trHeight w:val="149"/>
        </w:trPr>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tax (benefit) expense</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3,206,495</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829,366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(1,671,047)</w:t>
            </w:r>
          </w:p>
        </w:tc>
      </w:tr>
      <w:tr>
        <w:trPr>
          <w:trHeight w:val="148"/>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Interest expense from convertible bonds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2,550,208</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2,617,706</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2,672,706</w:t>
            </w:r>
          </w:p>
        </w:tc>
        <w:tc>
          <w:tcPr>
            <w:tcW w:w="100" w:type="dxa"/>
            <w:vAlign w:val="bottom"/>
            <w:shd w:val="clear" w:color="auto" w:fill="CFF0FC"/>
          </w:tcPr>
          <w:p>
            <w:pPr>
              <w:spacing w:after="0"/>
              <w:rPr>
                <w:sz w:val="12"/>
                <w:szCs w:val="12"/>
                <w:color w:val="auto"/>
              </w:rPr>
            </w:pPr>
          </w:p>
        </w:tc>
      </w:tr>
      <w:tr>
        <w:trPr>
          <w:trHeight w:val="148"/>
        </w:trPr>
        <w:tc>
          <w:tcPr>
            <w:tcW w:w="7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Financial instruments held, at fair value</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(249,167,561)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363,008,571</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(8,077,171)</w:t>
            </w:r>
          </w:p>
        </w:tc>
      </w:tr>
      <w:tr>
        <w:trPr>
          <w:trHeight w:val="148"/>
        </w:trPr>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Receivables from customers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(108,963,426)</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(313,904,166)</w:t>
            </w:r>
          </w:p>
        </w:tc>
        <w:tc>
          <w:tcPr>
            <w:tcW w:w="36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(730,666,224)</w:t>
            </w:r>
          </w:p>
        </w:tc>
      </w:tr>
      <w:tr>
        <w:trPr>
          <w:trHeight w:val="148"/>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Receivables from brokers, dealers and clearing organizations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415,068,652</w:t>
            </w: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(1,763,863,578)</w:t>
            </w: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272,773,646</w:t>
            </w:r>
          </w:p>
        </w:tc>
        <w:tc>
          <w:tcPr>
            <w:tcW w:w="100" w:type="dxa"/>
            <w:vAlign w:val="bottom"/>
            <w:shd w:val="clear" w:color="auto" w:fill="CFF0FC"/>
          </w:tcPr>
          <w:p>
            <w:pPr>
              <w:spacing w:after="0"/>
              <w:rPr>
                <w:sz w:val="12"/>
                <w:szCs w:val="12"/>
                <w:color w:val="auto"/>
              </w:rPr>
            </w:pPr>
          </w:p>
        </w:tc>
      </w:tr>
      <w:tr>
        <w:trPr>
          <w:trHeight w:val="149"/>
        </w:trPr>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Amounts due from/to related parties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6,468,157</w:t>
            </w:r>
          </w:p>
        </w:tc>
        <w:tc>
          <w:tcPr>
            <w:tcW w:w="12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(18,006,726)</w:t>
            </w:r>
          </w:p>
        </w:tc>
        <w:tc>
          <w:tcPr>
            <w:tcW w:w="3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66,703,639</w:t>
            </w:r>
          </w:p>
        </w:tc>
        <w:tc>
          <w:tcPr>
            <w:tcW w:w="100" w:type="dxa"/>
            <w:vAlign w:val="bottom"/>
          </w:tcPr>
          <w:p>
            <w:pPr>
              <w:spacing w:after="0"/>
              <w:rPr>
                <w:sz w:val="12"/>
                <w:szCs w:val="12"/>
                <w:color w:val="auto"/>
              </w:rPr>
            </w:pPr>
          </w:p>
        </w:tc>
      </w:tr>
      <w:tr>
        <w:trPr>
          <w:trHeight w:val="148"/>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(4,719,181)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1,174,192</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(18,129,956)</w:t>
            </w:r>
          </w:p>
        </w:tc>
      </w:tr>
      <w:tr>
        <w:trPr>
          <w:trHeight w:val="148"/>
        </w:trPr>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4,892,207</w:t>
            </w:r>
          </w:p>
        </w:tc>
        <w:tc>
          <w:tcPr>
            <w:tcW w:w="12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(1,812,788)</w:t>
            </w:r>
          </w:p>
        </w:tc>
        <w:tc>
          <w:tcPr>
            <w:tcW w:w="36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(793,923)</w:t>
            </w:r>
          </w:p>
        </w:tc>
      </w:tr>
      <w:tr>
        <w:trPr>
          <w:trHeight w:val="148"/>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Other non-current assets</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(550,983)</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(2,058,980)</w:t>
            </w:r>
          </w:p>
        </w:tc>
        <w:tc>
          <w:tcPr>
            <w:tcW w:w="3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(4,461,237)</w:t>
            </w:r>
          </w:p>
        </w:tc>
      </w:tr>
      <w:tr>
        <w:trPr>
          <w:trHeight w:val="148"/>
        </w:trPr>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Payables to customers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(83,098,889)</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661,344,567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1,521,314,873</w:t>
            </w:r>
          </w:p>
        </w:tc>
        <w:tc>
          <w:tcPr>
            <w:tcW w:w="100" w:type="dxa"/>
            <w:vAlign w:val="bottom"/>
          </w:tcPr>
          <w:p>
            <w:pPr>
              <w:spacing w:after="0"/>
              <w:rPr>
                <w:sz w:val="12"/>
                <w:szCs w:val="12"/>
                <w:color w:val="auto"/>
              </w:rPr>
            </w:pPr>
          </w:p>
        </w:tc>
      </w:tr>
      <w:tr>
        <w:trPr>
          <w:trHeight w:val="149"/>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Payables to brokers, dealers and clearing organizations</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(23,848,815)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1,799,997,770</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(10,857,389)</w:t>
            </w:r>
          </w:p>
        </w:tc>
      </w:tr>
      <w:tr>
        <w:trPr>
          <w:trHeight w:val="148"/>
        </w:trPr>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4,604,199</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24,786,008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45,551,282</w:t>
            </w:r>
          </w:p>
        </w:tc>
        <w:tc>
          <w:tcPr>
            <w:tcW w:w="100" w:type="dxa"/>
            <w:vAlign w:val="bottom"/>
          </w:tcPr>
          <w:p>
            <w:pPr>
              <w:spacing w:after="0"/>
              <w:rPr>
                <w:sz w:val="12"/>
                <w:szCs w:val="12"/>
                <w:color w:val="auto"/>
              </w:rPr>
            </w:pPr>
          </w:p>
        </w:tc>
      </w:tr>
      <w:tr>
        <w:trPr>
          <w:trHeight w:val="148"/>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(4,969,139)</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1,145,234</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920,664</w:t>
            </w:r>
          </w:p>
        </w:tc>
        <w:tc>
          <w:tcPr>
            <w:tcW w:w="100" w:type="dxa"/>
            <w:vAlign w:val="bottom"/>
            <w:shd w:val="clear" w:color="auto" w:fill="CFF0FC"/>
          </w:tcPr>
          <w:p>
            <w:pPr>
              <w:spacing w:after="0"/>
              <w:rPr>
                <w:sz w:val="12"/>
                <w:szCs w:val="12"/>
                <w:color w:val="auto"/>
              </w:rPr>
            </w:pPr>
          </w:p>
        </w:tc>
      </w:tr>
      <w:tr>
        <w:trPr>
          <w:trHeight w:val="148"/>
        </w:trPr>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income</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(1,368,912)</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(819,809)</w:t>
            </w:r>
          </w:p>
        </w:tc>
        <w:tc>
          <w:tcPr>
            <w:tcW w:w="3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7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760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provided by operating activities</w:t>
            </w:r>
          </w:p>
        </w:tc>
        <w:tc>
          <w:tcPr>
            <w:tcW w:w="12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(6,566,354)</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827,978,252</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1,316,684,703</w:t>
            </w:r>
          </w:p>
        </w:tc>
        <w:tc>
          <w:tcPr>
            <w:tcW w:w="100" w:type="dxa"/>
            <w:vAlign w:val="bottom"/>
            <w:shd w:val="clear" w:color="auto" w:fill="CFF0FC"/>
          </w:tcPr>
          <w:p>
            <w:pPr>
              <w:spacing w:after="0"/>
              <w:rPr>
                <w:sz w:val="12"/>
                <w:szCs w:val="12"/>
                <w:color w:val="auto"/>
              </w:rPr>
            </w:pPr>
          </w:p>
        </w:tc>
      </w:tr>
      <w:tr>
        <w:trPr>
          <w:trHeight w:val="142"/>
        </w:trPr>
        <w:tc>
          <w:tcPr>
            <w:tcW w:w="76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08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8"/>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Purchase of property, equipment and intangible assets</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(2,764,030)</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(1,553,276)</w:t>
            </w:r>
          </w:p>
        </w:tc>
        <w:tc>
          <w:tcPr>
            <w:tcW w:w="3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(5,482,918)</w:t>
            </w:r>
          </w:p>
        </w:tc>
      </w:tr>
      <w:tr>
        <w:trPr>
          <w:trHeight w:val="149"/>
        </w:trPr>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Payment for long-term investments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(500,000)</w:t>
            </w:r>
          </w:p>
        </w:tc>
        <w:tc>
          <w:tcPr>
            <w:tcW w:w="154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Payment for equity method investment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(10,000,000)</w:t>
            </w:r>
          </w:p>
        </w:tc>
        <w:tc>
          <w:tcPr>
            <w:tcW w:w="3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Cash received from disposal of a subsidiary</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388,335</w:t>
            </w:r>
          </w:p>
        </w:tc>
        <w:tc>
          <w:tcPr>
            <w:tcW w:w="100" w:type="dxa"/>
            <w:vAlign w:val="bottom"/>
          </w:tcPr>
          <w:p>
            <w:pPr>
              <w:spacing w:after="0"/>
              <w:rPr>
                <w:sz w:val="12"/>
                <w:szCs w:val="12"/>
                <w:color w:val="auto"/>
              </w:rPr>
            </w:pPr>
          </w:p>
        </w:tc>
      </w:tr>
      <w:tr>
        <w:trPr>
          <w:trHeight w:val="149"/>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Purchase of term deposits</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(4,225,412)</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(196,702)</w:t>
            </w:r>
          </w:p>
        </w:tc>
        <w:tc>
          <w:tcPr>
            <w:tcW w:w="3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Maturity of term deposits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74,679</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2,816,941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470,751</w:t>
            </w:r>
          </w:p>
        </w:tc>
        <w:tc>
          <w:tcPr>
            <w:tcW w:w="100" w:type="dxa"/>
            <w:vAlign w:val="bottom"/>
          </w:tcPr>
          <w:p>
            <w:pPr>
              <w:spacing w:after="0"/>
              <w:rPr>
                <w:sz w:val="12"/>
                <w:szCs w:val="12"/>
                <w:color w:val="auto"/>
              </w:rPr>
            </w:pPr>
          </w:p>
        </w:tc>
      </w:tr>
      <w:tr>
        <w:trPr>
          <w:trHeight w:val="148"/>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Advances to employees</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(342,686)</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269,403</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(1,169,167)</w:t>
            </w:r>
          </w:p>
        </w:tc>
      </w:tr>
      <w:tr>
        <w:trPr>
          <w:trHeight w:val="149"/>
        </w:trPr>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Dividend received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6,889</w:t>
            </w:r>
          </w:p>
        </w:tc>
        <w:tc>
          <w:tcPr>
            <w:tcW w:w="120" w:type="dxa"/>
            <w:vAlign w:val="bottom"/>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6,889</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44,245</w:t>
            </w:r>
          </w:p>
        </w:tc>
        <w:tc>
          <w:tcPr>
            <w:tcW w:w="100" w:type="dxa"/>
            <w:vAlign w:val="bottom"/>
          </w:tcPr>
          <w:p>
            <w:pPr>
              <w:spacing w:after="0"/>
              <w:rPr>
                <w:sz w:val="12"/>
                <w:szCs w:val="12"/>
                <w:color w:val="auto"/>
              </w:rPr>
            </w:pPr>
          </w:p>
        </w:tc>
      </w:tr>
      <w:tr>
        <w:trPr>
          <w:trHeight w:val="142"/>
        </w:trPr>
        <w:tc>
          <w:tcPr>
            <w:tcW w:w="760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12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(7,750,560)</w:t>
            </w:r>
          </w:p>
        </w:tc>
        <w:tc>
          <w:tcPr>
            <w:tcW w:w="11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(8,656,745)</w:t>
            </w:r>
          </w:p>
        </w:tc>
        <w:tc>
          <w:tcPr>
            <w:tcW w:w="3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(5,748,754)</w:t>
            </w:r>
          </w:p>
        </w:tc>
      </w:tr>
      <w:tr>
        <w:trPr>
          <w:trHeight w:val="142"/>
        </w:trPr>
        <w:tc>
          <w:tcPr>
            <w:tcW w:w="76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08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9"/>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Proceeds received from redeemable non-controlling interests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1,680,036</w:t>
            </w:r>
          </w:p>
        </w:tc>
        <w:tc>
          <w:tcPr>
            <w:tcW w:w="120" w:type="dxa"/>
            <w:vAlign w:val="bottom"/>
            <w:shd w:val="clear" w:color="auto" w:fill="CFF0FC"/>
          </w:tcPr>
          <w:p>
            <w:pPr>
              <w:spacing w:after="0"/>
              <w:rPr>
                <w:sz w:val="12"/>
                <w:szCs w:val="12"/>
                <w:color w:val="auto"/>
              </w:rPr>
            </w:pPr>
          </w:p>
        </w:tc>
        <w:tc>
          <w:tcPr>
            <w:tcW w:w="154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proceeds received from follow-on public offering (net of offering cost of US$835,813)</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103,742,312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Repurchase of preferred shares from redeemable non-controlling interests</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(3,030,555)</w:t>
            </w:r>
          </w:p>
        </w:tc>
      </w:tr>
      <w:tr>
        <w:trPr>
          <w:trHeight w:val="149"/>
        </w:trPr>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Proceeds received from issuance of Class A Ordinary Shares upon settlement of share-based awards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140,383</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85,110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100,897</w:t>
            </w:r>
          </w:p>
        </w:tc>
        <w:tc>
          <w:tcPr>
            <w:tcW w:w="100" w:type="dxa"/>
            <w:vAlign w:val="bottom"/>
          </w:tcPr>
          <w:p>
            <w:pPr>
              <w:spacing w:after="0"/>
              <w:rPr>
                <w:sz w:val="12"/>
                <w:szCs w:val="12"/>
                <w:color w:val="auto"/>
              </w:rPr>
            </w:pPr>
          </w:p>
        </w:tc>
      </w:tr>
      <w:tr>
        <w:trPr>
          <w:trHeight w:val="148"/>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1,820,419</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103,827,422</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(2,929,658)</w:t>
            </w:r>
          </w:p>
        </w:tc>
      </w:tr>
      <w:tr>
        <w:trPr>
          <w:trHeight w:val="20"/>
        </w:trPr>
        <w:tc>
          <w:tcPr>
            <w:tcW w:w="76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76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Increase (decrease) in cash, cash equivalents and restricted cash</w:t>
            </w:r>
          </w:p>
        </w:tc>
        <w:tc>
          <w:tcPr>
            <w:tcW w:w="12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(12,496,495)</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923,148,929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1,308,006,291</w:t>
            </w:r>
          </w:p>
        </w:tc>
        <w:tc>
          <w:tcPr>
            <w:tcW w:w="100" w:type="dxa"/>
            <w:vAlign w:val="bottom"/>
          </w:tcPr>
          <w:p>
            <w:pPr>
              <w:spacing w:after="0"/>
              <w:rPr>
                <w:sz w:val="12"/>
                <w:szCs w:val="12"/>
                <w:color w:val="auto"/>
              </w:rPr>
            </w:pPr>
          </w:p>
        </w:tc>
      </w:tr>
      <w:tr>
        <w:trPr>
          <w:trHeight w:val="148"/>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Effect of exchange rate changes</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(3,478,233)</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(4,642,231)</w:t>
            </w: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26,639,425</w:t>
            </w:r>
          </w:p>
        </w:tc>
        <w:tc>
          <w:tcPr>
            <w:tcW w:w="100" w:type="dxa"/>
            <w:vAlign w:val="bottom"/>
            <w:shd w:val="clear" w:color="auto" w:fill="CFF0FC"/>
          </w:tcPr>
          <w:p>
            <w:pPr>
              <w:spacing w:after="0"/>
              <w:rPr>
                <w:sz w:val="12"/>
                <w:szCs w:val="12"/>
                <w:color w:val="auto"/>
              </w:rPr>
            </w:pPr>
          </w:p>
        </w:tc>
      </w:tr>
      <w:tr>
        <w:trPr>
          <w:trHeight w:val="149"/>
        </w:trPr>
        <w:tc>
          <w:tcPr>
            <w:tcW w:w="7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the year</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1,955,728,529</w:t>
            </w:r>
          </w:p>
        </w:tc>
        <w:tc>
          <w:tcPr>
            <w:tcW w:w="120" w:type="dxa"/>
            <w:vAlign w:val="bottom"/>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1,939,753,801</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2,858,260,499</w:t>
            </w:r>
          </w:p>
        </w:tc>
        <w:tc>
          <w:tcPr>
            <w:tcW w:w="100" w:type="dxa"/>
            <w:vAlign w:val="bottom"/>
          </w:tcPr>
          <w:p>
            <w:pPr>
              <w:spacing w:after="0"/>
              <w:rPr>
                <w:sz w:val="12"/>
                <w:szCs w:val="12"/>
                <w:color w:val="auto"/>
              </w:rPr>
            </w:pPr>
          </w:p>
        </w:tc>
      </w:tr>
      <w:tr>
        <w:trPr>
          <w:trHeight w:val="182"/>
        </w:trPr>
        <w:tc>
          <w:tcPr>
            <w:tcW w:w="76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at end of the year</w:t>
            </w: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1,939,753,801</w:t>
            </w:r>
          </w:p>
        </w:tc>
        <w:tc>
          <w:tcPr>
            <w:tcW w:w="1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2,858,260,499</w:t>
            </w: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4,192,906,215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76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322,599,616</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393,576,874</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791,016,893</w:t>
            </w:r>
          </w:p>
        </w:tc>
        <w:tc>
          <w:tcPr>
            <w:tcW w:w="100" w:type="dxa"/>
            <w:vAlign w:val="bottom"/>
            <w:shd w:val="clear" w:color="auto" w:fill="CFF0FC"/>
          </w:tcPr>
          <w:p>
            <w:pPr>
              <w:spacing w:after="0"/>
              <w:rPr>
                <w:sz w:val="12"/>
                <w:szCs w:val="12"/>
                <w:color w:val="auto"/>
              </w:rPr>
            </w:pPr>
          </w:p>
        </w:tc>
      </w:tr>
      <w:tr>
        <w:trPr>
          <w:trHeight w:val="149"/>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Cash-segregated for regulatory purpose</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1,617,154,185</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2,464,683,625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3,401,889,322</w:t>
            </w:r>
          </w:p>
        </w:tc>
        <w:tc>
          <w:tcPr>
            <w:tcW w:w="100" w:type="dxa"/>
            <w:vAlign w:val="bottom"/>
          </w:tcPr>
          <w:p>
            <w:pPr>
              <w:spacing w:after="0"/>
              <w:rPr>
                <w:sz w:val="12"/>
                <w:szCs w:val="12"/>
                <w:color w:val="auto"/>
              </w:rPr>
            </w:pPr>
          </w:p>
        </w:tc>
      </w:tr>
      <w:tr>
        <w:trPr>
          <w:trHeight w:val="148"/>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4"/>
        </w:trPr>
        <w:tc>
          <w:tcPr>
            <w:tcW w:w="7600" w:type="dxa"/>
            <w:vAlign w:val="bottom"/>
          </w:tcPr>
          <w:p>
            <w:pPr>
              <w:spacing w:after="0"/>
              <w:rPr>
                <w:sz w:val="20"/>
                <w:szCs w:val="20"/>
                <w:color w:val="auto"/>
              </w:rPr>
            </w:pPr>
            <w:r>
              <w:rPr>
                <w:rFonts w:ascii="Times New Roman" w:cs="Times New Roman" w:eastAsia="Times New Roman" w:hAnsi="Times New Roman"/>
                <w:sz w:val="13"/>
                <w:szCs w:val="13"/>
                <w:color w:val="auto"/>
              </w:rPr>
              <w:t>Income taxes paid (net of refunds)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13,324,309</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11,288,825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26,068,379</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-2441575</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-2441575</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-2441575</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-1481455</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-1481455</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-1481455</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-907415</wp:posOffset>
            </wp:positionV>
            <wp:extent cx="6858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-907415</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-907415</wp:posOffset>
            </wp:positionV>
            <wp:extent cx="6858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-513080</wp:posOffset>
            </wp:positionV>
            <wp:extent cx="685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-495935</wp:posOffset>
            </wp:positionV>
            <wp:extent cx="6858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-513080</wp:posOffset>
            </wp:positionV>
            <wp:extent cx="6858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-495935</wp:posOffset>
            </wp:positionV>
            <wp:extent cx="6858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144" w:lineRule="exact"/>
        <w:rPr>
          <w:sz w:val="20"/>
          <w:szCs w:val="20"/>
          <w:color w:val="auto"/>
        </w:rPr>
      </w:pPr>
    </w:p>
    <w:p>
      <w:pPr>
        <w:ind w:left="440" w:hanging="432"/>
        <w:spacing w:after="0"/>
        <w:tabs>
          <w:tab w:leader="none" w:pos="4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UP Fintech Holding Limited (the “Company”) was incorporated under the laws of Cayman Islands on January 26, 2018. The Company, its subsidiaries, its consolidated variable interest entities (“VIEs”) and VIEs’ subsidiaries (collectively, the “Group”) are primarily engaged in providing online brokerage services.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2025, details of the Group’s major principal operating subsidiaries, VIEs and VIEs’ subsidiaries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96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2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00" w:type="dxa"/>
            <w:vAlign w:val="bottom"/>
          </w:tcPr>
          <w:p>
            <w:pPr>
              <w:spacing w:after="0"/>
              <w:rPr>
                <w:sz w:val="13"/>
                <w:szCs w:val="13"/>
                <w:color w:val="auto"/>
              </w:rPr>
            </w:pPr>
          </w:p>
        </w:tc>
        <w:tc>
          <w:tcPr>
            <w:tcW w:w="16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68"/>
        </w:trPr>
        <w:tc>
          <w:tcPr>
            <w:tcW w:w="5820" w:type="dxa"/>
            <w:vAlign w:val="bottom"/>
          </w:tcPr>
          <w:p>
            <w:pPr>
              <w:spacing w:after="0"/>
              <w:rPr>
                <w:sz w:val="5"/>
                <w:szCs w:val="5"/>
                <w:color w:val="auto"/>
              </w:rPr>
            </w:pPr>
          </w:p>
        </w:tc>
        <w:tc>
          <w:tcPr>
            <w:tcW w:w="1960" w:type="dxa"/>
            <w:vAlign w:val="bottom"/>
            <w:vMerge w:val="restart"/>
          </w:tcPr>
          <w:p>
            <w:pPr>
              <w:jc w:val="right"/>
              <w:ind w:right="488"/>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120" w:type="dxa"/>
            <w:vAlign w:val="bottom"/>
          </w:tcPr>
          <w:p>
            <w:pPr>
              <w:spacing w:after="0"/>
              <w:rPr>
                <w:sz w:val="5"/>
                <w:szCs w:val="5"/>
                <w:color w:val="auto"/>
              </w:rPr>
            </w:pPr>
          </w:p>
        </w:tc>
        <w:tc>
          <w:tcPr>
            <w:tcW w:w="1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establishment/</w:t>
            </w:r>
          </w:p>
        </w:tc>
        <w:tc>
          <w:tcPr>
            <w:tcW w:w="1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82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legal ownership</w:t>
            </w:r>
          </w:p>
        </w:tc>
        <w:tc>
          <w:tcPr>
            <w:tcW w:w="0" w:type="dxa"/>
            <w:vAlign w:val="bottom"/>
          </w:tcPr>
          <w:p>
            <w:pPr>
              <w:spacing w:after="0"/>
              <w:rPr>
                <w:sz w:val="1"/>
                <w:szCs w:val="1"/>
                <w:color w:val="auto"/>
              </w:rPr>
            </w:pPr>
          </w:p>
        </w:tc>
      </w:tr>
      <w:tr>
        <w:trPr>
          <w:trHeight w:val="109"/>
        </w:trPr>
        <w:tc>
          <w:tcPr>
            <w:tcW w:w="5820" w:type="dxa"/>
            <w:vAlign w:val="bottom"/>
          </w:tcPr>
          <w:p>
            <w:pPr>
              <w:spacing w:after="0"/>
              <w:rPr>
                <w:sz w:val="9"/>
                <w:szCs w:val="9"/>
                <w:color w:val="auto"/>
              </w:rPr>
            </w:pPr>
          </w:p>
        </w:tc>
        <w:tc>
          <w:tcPr>
            <w:tcW w:w="196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or acquisition</w:t>
            </w:r>
          </w:p>
        </w:tc>
        <w:tc>
          <w:tcPr>
            <w:tcW w:w="120" w:type="dxa"/>
            <w:vAlign w:val="bottom"/>
          </w:tcPr>
          <w:p>
            <w:pPr>
              <w:spacing w:after="0"/>
              <w:rPr>
                <w:sz w:val="9"/>
                <w:szCs w:val="9"/>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820" w:type="dxa"/>
            <w:vAlign w:val="bottom"/>
          </w:tcPr>
          <w:p>
            <w:pPr>
              <w:spacing w:after="0"/>
              <w:rPr>
                <w:sz w:val="5"/>
                <w:szCs w:val="5"/>
                <w:color w:val="auto"/>
              </w:rPr>
            </w:pPr>
          </w:p>
        </w:tc>
        <w:tc>
          <w:tcPr>
            <w:tcW w:w="19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5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Subsidiaries:</w:t>
            </w:r>
          </w:p>
        </w:tc>
        <w:tc>
          <w:tcPr>
            <w:tcW w:w="1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Tiger Brokers (NZ) Limited (“TBNZ”)</w:t>
            </w: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August 02, 2016</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New Zealand</w:t>
            </w:r>
          </w:p>
        </w:tc>
        <w:tc>
          <w:tcPr>
            <w:tcW w:w="1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Up Fintech International Limited (“Up International”)</w:t>
            </w:r>
          </w:p>
        </w:tc>
        <w:tc>
          <w:tcPr>
            <w:tcW w:w="1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February 08, 2018</w:t>
            </w:r>
          </w:p>
        </w:tc>
        <w:tc>
          <w:tcPr>
            <w:tcW w:w="12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17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9"/>
        </w:trPr>
        <w:tc>
          <w:tcPr>
            <w:tcW w:w="5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Tiger Brokers (Singapore) PTE Ltd. (“Tiger Brokers SG”)</w:t>
            </w: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March 27, 2018</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Singapore</w:t>
            </w:r>
          </w:p>
        </w:tc>
        <w:tc>
          <w:tcPr>
            <w:tcW w:w="1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26"/>
        </w:trPr>
        <w:tc>
          <w:tcPr>
            <w:tcW w:w="58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US Tiger Securities, Inc. (“US Tiger Securities”)</w:t>
            </w:r>
          </w:p>
        </w:tc>
        <w:tc>
          <w:tcPr>
            <w:tcW w:w="1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30, 2018</w:t>
            </w:r>
          </w:p>
        </w:tc>
        <w:tc>
          <w:tcPr>
            <w:tcW w:w="120" w:type="dxa"/>
            <w:vAlign w:val="bottom"/>
            <w:shd w:val="clear" w:color="auto" w:fill="CFF0FC"/>
          </w:tcPr>
          <w:p>
            <w:pPr>
              <w:spacing w:after="0"/>
              <w:rPr>
                <w:sz w:val="10"/>
                <w:szCs w:val="10"/>
                <w:color w:val="auto"/>
              </w:rPr>
            </w:pPr>
          </w:p>
        </w:tc>
        <w:tc>
          <w:tcPr>
            <w:tcW w:w="164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United States of</w:t>
            </w:r>
          </w:p>
        </w:tc>
        <w:tc>
          <w:tcPr>
            <w:tcW w:w="1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07"/>
        </w:trPr>
        <w:tc>
          <w:tcPr>
            <w:tcW w:w="5820" w:type="dxa"/>
            <w:vAlign w:val="bottom"/>
            <w:vMerge w:val="continue"/>
            <w:shd w:val="clear" w:color="auto" w:fill="CFF0FC"/>
          </w:tcPr>
          <w:p>
            <w:pPr>
              <w:spacing w:after="0"/>
              <w:rPr>
                <w:sz w:val="9"/>
                <w:szCs w:val="9"/>
                <w:color w:val="auto"/>
              </w:rPr>
            </w:pPr>
          </w:p>
        </w:tc>
        <w:tc>
          <w:tcPr>
            <w:tcW w:w="19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America(“USA”)</w:t>
            </w:r>
          </w:p>
        </w:tc>
        <w:tc>
          <w:tcPr>
            <w:tcW w:w="17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820" w:type="dxa"/>
            <w:vAlign w:val="bottom"/>
            <w:shd w:val="clear" w:color="auto" w:fill="CFF0FC"/>
          </w:tcPr>
          <w:p>
            <w:pPr>
              <w:spacing w:after="0"/>
              <w:rPr>
                <w:sz w:val="5"/>
                <w:szCs w:val="5"/>
                <w:color w:val="auto"/>
              </w:rPr>
            </w:pPr>
          </w:p>
        </w:tc>
        <w:tc>
          <w:tcPr>
            <w:tcW w:w="19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4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6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5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Beijing Bohu Xiangshang Technology Co., LTD (“Beijing BHXS”,</w:t>
            </w: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May 17, 2018</w:t>
            </w:r>
          </w:p>
        </w:tc>
        <w:tc>
          <w:tcPr>
            <w:tcW w:w="120" w:type="dxa"/>
            <w:vAlign w:val="bottom"/>
          </w:tcPr>
          <w:p>
            <w:pPr>
              <w:spacing w:after="0"/>
              <w:rPr>
                <w:sz w:val="10"/>
                <w:szCs w:val="10"/>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1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07"/>
        </w:trPr>
        <w:tc>
          <w:tcPr>
            <w:tcW w:w="5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“Beijing WFOE I”)</w:t>
            </w:r>
          </w:p>
        </w:tc>
        <w:tc>
          <w:tcPr>
            <w:tcW w:w="19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820" w:type="dxa"/>
            <w:vAlign w:val="bottom"/>
            <w:vMerge w:val="continue"/>
          </w:tcPr>
          <w:p>
            <w:pPr>
              <w:spacing w:after="0"/>
              <w:rPr>
                <w:sz w:val="5"/>
                <w:szCs w:val="5"/>
                <w:color w:val="auto"/>
              </w:rPr>
            </w:pPr>
          </w:p>
        </w:tc>
        <w:tc>
          <w:tcPr>
            <w:tcW w:w="1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58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Beijing Xiangshang Yixin Technology Co., Ltd (“Beijing Yixin”,</w:t>
            </w:r>
          </w:p>
        </w:tc>
        <w:tc>
          <w:tcPr>
            <w:tcW w:w="1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July 26, 2018</w:t>
            </w:r>
          </w:p>
        </w:tc>
        <w:tc>
          <w:tcPr>
            <w:tcW w:w="120" w:type="dxa"/>
            <w:vAlign w:val="bottom"/>
            <w:shd w:val="clear" w:color="auto" w:fill="CFF0FC"/>
          </w:tcPr>
          <w:p>
            <w:pPr>
              <w:spacing w:after="0"/>
              <w:rPr>
                <w:sz w:val="10"/>
                <w:szCs w:val="10"/>
                <w:color w:val="auto"/>
              </w:rPr>
            </w:pPr>
          </w:p>
        </w:tc>
        <w:tc>
          <w:tcPr>
            <w:tcW w:w="16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1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07"/>
        </w:trPr>
        <w:tc>
          <w:tcPr>
            <w:tcW w:w="582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“Beijing WFOE II”)</w:t>
            </w:r>
          </w:p>
        </w:tc>
        <w:tc>
          <w:tcPr>
            <w:tcW w:w="19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40" w:type="dxa"/>
            <w:vAlign w:val="bottom"/>
            <w:vMerge w:val="continue"/>
            <w:shd w:val="clear" w:color="auto" w:fill="CFF0FC"/>
          </w:tcPr>
          <w:p>
            <w:pPr>
              <w:spacing w:after="0"/>
              <w:rPr>
                <w:sz w:val="9"/>
                <w:szCs w:val="9"/>
                <w:color w:val="auto"/>
              </w:rPr>
            </w:pPr>
          </w:p>
        </w:tc>
        <w:tc>
          <w:tcPr>
            <w:tcW w:w="17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820" w:type="dxa"/>
            <w:vAlign w:val="bottom"/>
            <w:vMerge w:val="continue"/>
            <w:shd w:val="clear" w:color="auto" w:fill="CFF0FC"/>
          </w:tcPr>
          <w:p>
            <w:pPr>
              <w:spacing w:after="0"/>
              <w:rPr>
                <w:sz w:val="5"/>
                <w:szCs w:val="5"/>
                <w:color w:val="auto"/>
              </w:rPr>
            </w:pPr>
          </w:p>
        </w:tc>
        <w:tc>
          <w:tcPr>
            <w:tcW w:w="19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6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Trading Front Inc (“Trading Front”)</w:t>
            </w: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August 01, 2018</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USA</w:t>
            </w:r>
          </w:p>
        </w:tc>
        <w:tc>
          <w:tcPr>
            <w:tcW w:w="1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Wealthn LLC (“Wealthn”)</w:t>
            </w:r>
          </w:p>
        </w:tc>
        <w:tc>
          <w:tcPr>
            <w:tcW w:w="1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August 01, 2018</w:t>
            </w:r>
          </w:p>
        </w:tc>
        <w:tc>
          <w:tcPr>
            <w:tcW w:w="12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USA</w:t>
            </w:r>
          </w:p>
        </w:tc>
        <w:tc>
          <w:tcPr>
            <w:tcW w:w="17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Kastle Limited (“Kastle”)</w:t>
            </w: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October 15, 2018</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1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TradeUP Securities Inc (US) (“TradeUP Securities”)</w:t>
            </w:r>
          </w:p>
        </w:tc>
        <w:tc>
          <w:tcPr>
            <w:tcW w:w="1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July 12, 2019</w:t>
            </w:r>
          </w:p>
        </w:tc>
        <w:tc>
          <w:tcPr>
            <w:tcW w:w="12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USA</w:t>
            </w:r>
          </w:p>
        </w:tc>
        <w:tc>
          <w:tcPr>
            <w:tcW w:w="17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22"/>
        </w:trPr>
        <w:tc>
          <w:tcPr>
            <w:tcW w:w="58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Tradeup Inc. (“Tradeup”)</w:t>
            </w:r>
          </w:p>
        </w:tc>
        <w:tc>
          <w:tcPr>
            <w:tcW w:w="19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October 10, 2019</w:t>
            </w:r>
          </w:p>
        </w:tc>
        <w:tc>
          <w:tcPr>
            <w:tcW w:w="120" w:type="dxa"/>
            <w:vAlign w:val="bottom"/>
          </w:tcPr>
          <w:p>
            <w:pPr>
              <w:spacing w:after="0"/>
              <w:rPr>
                <w:sz w:val="10"/>
                <w:szCs w:val="10"/>
                <w:color w:val="auto"/>
              </w:rPr>
            </w:pPr>
          </w:p>
        </w:tc>
        <w:tc>
          <w:tcPr>
            <w:tcW w:w="164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w w:val="99"/>
              </w:rPr>
              <w:t>USA</w:t>
            </w:r>
          </w:p>
        </w:tc>
        <w:tc>
          <w:tcPr>
            <w:tcW w:w="1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53"/>
        </w:trPr>
        <w:tc>
          <w:tcPr>
            <w:tcW w:w="58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Hangzhou U-Tiger Technology Co. LTD (“Hangzhou U-Tiger”)</w:t>
            </w:r>
          </w:p>
        </w:tc>
        <w:tc>
          <w:tcPr>
            <w:tcW w:w="19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April 09, 2020</w:t>
            </w:r>
          </w:p>
        </w:tc>
        <w:tc>
          <w:tcPr>
            <w:tcW w:w="120" w:type="dxa"/>
            <w:vAlign w:val="bottom"/>
          </w:tcPr>
          <w:p>
            <w:pPr>
              <w:spacing w:after="0"/>
              <w:rPr>
                <w:sz w:val="13"/>
                <w:szCs w:val="13"/>
                <w:color w:val="auto"/>
              </w:rPr>
            </w:pPr>
          </w:p>
        </w:tc>
        <w:tc>
          <w:tcPr>
            <w:tcW w:w="16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PRC</w:t>
            </w:r>
          </w:p>
        </w:tc>
        <w:tc>
          <w:tcPr>
            <w:tcW w:w="170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17"/>
                <w:szCs w:val="17"/>
                <w:color w:val="auto"/>
                <w:vertAlign w:val="superscript"/>
              </w:rPr>
              <w:t>1</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Tiger Fintech (NZ) Limited (“TFNZ”)</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17, 2021</w:t>
            </w:r>
          </w:p>
        </w:tc>
        <w:tc>
          <w:tcPr>
            <w:tcW w:w="1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Zealand</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Tiger Services (AU) Pty Ltd (“Tiger Services AU”)</w:t>
            </w:r>
          </w:p>
        </w:tc>
        <w:tc>
          <w:tcPr>
            <w:tcW w:w="1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August 27, 2021</w:t>
            </w:r>
          </w:p>
        </w:tc>
        <w:tc>
          <w:tcPr>
            <w:tcW w:w="12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Australia</w:t>
            </w:r>
          </w:p>
        </w:tc>
        <w:tc>
          <w:tcPr>
            <w:tcW w:w="17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Tiger Brokers (AU) PTY Limited (“TBAU”)</w:t>
            </w: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September 13, 2021</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Australia</w:t>
            </w:r>
          </w:p>
        </w:tc>
        <w:tc>
          <w:tcPr>
            <w:tcW w:w="1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9"/>
        </w:trPr>
        <w:tc>
          <w:tcPr>
            <w:tcW w:w="5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Tiger Brokers (HK) Global Limited (“Tiger Brokers HK”)</w:t>
            </w:r>
          </w:p>
        </w:tc>
        <w:tc>
          <w:tcPr>
            <w:tcW w:w="1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October 26, 2021</w:t>
            </w:r>
          </w:p>
        </w:tc>
        <w:tc>
          <w:tcPr>
            <w:tcW w:w="12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17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Tiger Fund Management PTE.LTD (“Tiger Fund Management”)</w:t>
            </w: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July 08, 2022</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Singapore</w:t>
            </w:r>
          </w:p>
        </w:tc>
        <w:tc>
          <w:tcPr>
            <w:tcW w:w="1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9"/>
        </w:trPr>
        <w:tc>
          <w:tcPr>
            <w:tcW w:w="5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VIEs:</w:t>
            </w:r>
          </w:p>
        </w:tc>
        <w:tc>
          <w:tcPr>
            <w:tcW w:w="1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Beijing Xiangshang Rongke Technology Co. LTD (“Beijing Rongke”,</w:t>
            </w: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June 11, 2014</w:t>
            </w:r>
          </w:p>
        </w:tc>
        <w:tc>
          <w:tcPr>
            <w:tcW w:w="120" w:type="dxa"/>
            <w:vAlign w:val="bottom"/>
          </w:tcPr>
          <w:p>
            <w:pPr>
              <w:spacing w:after="0"/>
              <w:rPr>
                <w:sz w:val="10"/>
                <w:szCs w:val="10"/>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100" w:type="dxa"/>
            <w:vAlign w:val="bottom"/>
          </w:tcPr>
          <w:p>
            <w:pPr>
              <w:spacing w:after="0"/>
              <w:rPr>
                <w:sz w:val="10"/>
                <w:szCs w:val="10"/>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Consolidated VIE</w:t>
            </w:r>
          </w:p>
        </w:tc>
        <w:tc>
          <w:tcPr>
            <w:tcW w:w="0" w:type="dxa"/>
            <w:vAlign w:val="bottom"/>
          </w:tcPr>
          <w:p>
            <w:pPr>
              <w:spacing w:after="0"/>
              <w:rPr>
                <w:sz w:val="1"/>
                <w:szCs w:val="1"/>
                <w:color w:val="auto"/>
              </w:rPr>
            </w:pPr>
          </w:p>
        </w:tc>
      </w:tr>
      <w:tr>
        <w:trPr>
          <w:trHeight w:val="107"/>
        </w:trPr>
        <w:tc>
          <w:tcPr>
            <w:tcW w:w="5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“Ningxia VIE”)</w:t>
            </w:r>
          </w:p>
        </w:tc>
        <w:tc>
          <w:tcPr>
            <w:tcW w:w="19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820" w:type="dxa"/>
            <w:vAlign w:val="bottom"/>
            <w:vMerge w:val="continue"/>
          </w:tcPr>
          <w:p>
            <w:pPr>
              <w:spacing w:after="0"/>
              <w:rPr>
                <w:sz w:val="5"/>
                <w:szCs w:val="5"/>
                <w:color w:val="auto"/>
              </w:rPr>
            </w:pPr>
          </w:p>
        </w:tc>
        <w:tc>
          <w:tcPr>
            <w:tcW w:w="1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58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Beijing Xiangshang Yiyi Laohu Technology Group Co., LTD (“Beijing Yiyi”,</w:t>
            </w:r>
          </w:p>
        </w:tc>
        <w:tc>
          <w:tcPr>
            <w:tcW w:w="1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October 29, 2018</w:t>
            </w:r>
          </w:p>
        </w:tc>
        <w:tc>
          <w:tcPr>
            <w:tcW w:w="120" w:type="dxa"/>
            <w:vAlign w:val="bottom"/>
            <w:shd w:val="clear" w:color="auto" w:fill="CFF0FC"/>
          </w:tcPr>
          <w:p>
            <w:pPr>
              <w:spacing w:after="0"/>
              <w:rPr>
                <w:sz w:val="10"/>
                <w:szCs w:val="10"/>
                <w:color w:val="auto"/>
              </w:rPr>
            </w:pPr>
          </w:p>
        </w:tc>
        <w:tc>
          <w:tcPr>
            <w:tcW w:w="16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100" w:type="dxa"/>
            <w:vAlign w:val="bottom"/>
            <w:shd w:val="clear" w:color="auto" w:fill="CFF0FC"/>
          </w:tcPr>
          <w:p>
            <w:pPr>
              <w:spacing w:after="0"/>
              <w:rPr>
                <w:sz w:val="10"/>
                <w:szCs w:val="10"/>
                <w:color w:val="auto"/>
              </w:rPr>
            </w:pPr>
          </w:p>
        </w:tc>
        <w:tc>
          <w:tcPr>
            <w:tcW w:w="1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Consolidated VIE</w:t>
            </w:r>
          </w:p>
        </w:tc>
        <w:tc>
          <w:tcPr>
            <w:tcW w:w="0" w:type="dxa"/>
            <w:vAlign w:val="bottom"/>
          </w:tcPr>
          <w:p>
            <w:pPr>
              <w:spacing w:after="0"/>
              <w:rPr>
                <w:sz w:val="1"/>
                <w:szCs w:val="1"/>
                <w:color w:val="auto"/>
              </w:rPr>
            </w:pPr>
          </w:p>
        </w:tc>
      </w:tr>
      <w:tr>
        <w:trPr>
          <w:trHeight w:val="107"/>
        </w:trPr>
        <w:tc>
          <w:tcPr>
            <w:tcW w:w="582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“Beijing VIE”)</w:t>
            </w:r>
          </w:p>
        </w:tc>
        <w:tc>
          <w:tcPr>
            <w:tcW w:w="19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4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820" w:type="dxa"/>
            <w:vAlign w:val="bottom"/>
            <w:vMerge w:val="continue"/>
            <w:shd w:val="clear" w:color="auto" w:fill="CFF0FC"/>
          </w:tcPr>
          <w:p>
            <w:pPr>
              <w:spacing w:after="0"/>
              <w:rPr>
                <w:sz w:val="5"/>
                <w:szCs w:val="5"/>
                <w:color w:val="auto"/>
              </w:rPr>
            </w:pPr>
          </w:p>
        </w:tc>
        <w:tc>
          <w:tcPr>
            <w:tcW w:w="19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6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VIEs’ subsidiaries:</w:t>
            </w: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Beijing U-Tiger Network Technology Co., LTD (“Beijing U-Tiger Network”)</w:t>
            </w:r>
          </w:p>
        </w:tc>
        <w:tc>
          <w:tcPr>
            <w:tcW w:w="1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April 20, 2016</w:t>
            </w:r>
          </w:p>
        </w:tc>
        <w:tc>
          <w:tcPr>
            <w:tcW w:w="12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10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48"/>
        </w:trPr>
        <w:tc>
          <w:tcPr>
            <w:tcW w:w="5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Beijing U-Tiger Business Service Co., Ltd (“Beijing U-Tiger Business”)</w:t>
            </w: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April 21, 2016</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10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49"/>
        </w:trPr>
        <w:tc>
          <w:tcPr>
            <w:tcW w:w="5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Beijing Zhijianfengyi Information Technology Co., Ltd (“Beijing ZJFY”)</w:t>
            </w:r>
          </w:p>
        </w:tc>
        <w:tc>
          <w:tcPr>
            <w:tcW w:w="1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January 25, 2018</w:t>
            </w:r>
          </w:p>
        </w:tc>
        <w:tc>
          <w:tcPr>
            <w:tcW w:w="12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10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48"/>
        </w:trPr>
        <w:tc>
          <w:tcPr>
            <w:tcW w:w="5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Beijing Yixin Xiangshang Technology Co.,LTD (“Beijing Xiangshang”)</w:t>
            </w: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September 05, 2018</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10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49"/>
        </w:trPr>
        <w:tc>
          <w:tcPr>
            <w:tcW w:w="5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Guangzhou U-Tiger Technology Co., LTD (“Guangzhou U-Tiger”)</w:t>
            </w:r>
          </w:p>
        </w:tc>
        <w:tc>
          <w:tcPr>
            <w:tcW w:w="1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December 24, 2018</w:t>
            </w:r>
          </w:p>
        </w:tc>
        <w:tc>
          <w:tcPr>
            <w:tcW w:w="12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10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-1602105</wp:posOffset>
            </wp:positionV>
            <wp:extent cx="7132320" cy="9398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5">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8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Up Fintech International Limited owns 85% percentage of the shares of Hangzhou U-Tiger, and the holder of the remaining 15% has pledged its voting interest to Up Fintech International Limited, which as a result controls 100% of the voting power of this entity.</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 of the Group and reorganization under identical common ownership</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Group’s history began in June 2014 with the commencement of operations of Beijing Rongke, as a limited liability company in PRC incorporated by Mr. Tianhua, Wu, Chief Executive Officer (the “CEO”). From December 2014 to January 2017, after the incorporation of the Beijing Rongke, series Angel, A, B, B+ investors (collectively, the “equity investors”) each acquired certain equity interest with preferential rights of Beijing Rongke.</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June 2018, the Company undertook a series of reorganization transactions to re-domicile its business from the PRC to the Cayman Islands (the “Re-domiciliation”). The main purpose of the Re-domiciliation was to establish a Cayman holding company for the existing business in preparation for its overseas initial public offering. At the same shareholding percentages and the rights of each shareholder were substantially the same in Beijing Rongke and the Company, the Re-domiciliation was accounted for as a reorganization of entities under common ownership. As a result, Beijing Rongke’s historical financial information was consolidated in the consolidated financial statements of the Group since the beginning of the periods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VIE arrangements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To provide the Company control over the VIEs and the rights to the expected residual returns of the VIEs and VIEs’ subsidiaries, on June 7, 2018, Beijing WFOE I, entered into a series of contractual arrangements with Beijing Rongke and its equity investors, which were amended and restated on December 17, 2018 and October 11, 2022, respectively and was terminated on November 1, 2023. On the same date of such termination, the Beijing WFOE I, entered into a series of contractual arrangements with Beijing Rongke and its then shareholders. On October 30, 2018, Beijing WFOE II entered into a series of substantially same contractual arrangements with Beijing Yiyi.</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As a result of entering into these contractual agreements, the Company through its wholly owned subsidiaries, Beijing WFOE I and Beijing WFOE II (the “WFOEs”), has (1) power to direct the activities of the VIEs that most significantly affect the entities’ economic performance and (2) the right to receive economic benefits of the VIEs that could be significant to the VIEs. Accordingly, The Company is considered the primary beneficiary of the VIEs and consolidate the VIEs’ financial results of operations, assets, and liabilities in the Company’s consolidated financial statements. The Company also believes that this ability to exercise control ensures that the VIEs will continue to execute and renew the exclusive business cooperation agreements and pay service fees to the Company. The ability to charge service fees in amounts determined at the Company’s sole discretion, and by ensuring that the exclusive business cooperation </w:t>
      </w:r>
      <w:r>
        <w:rPr>
          <w:rFonts w:ascii="Times New Roman" w:cs="Times New Roman" w:eastAsia="Times New Roman" w:hAnsi="Times New Roman"/>
          <w:sz w:val="18"/>
          <w:szCs w:val="18"/>
          <w:color w:val="231F20"/>
        </w:rPr>
        <w:t>agreements are executed and renewed indefinitely, the Company has the right to receive substantially all of the economic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benefits from the VIEs.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Agreements that were entered to provide the Company effective control over the VIEs</w:t>
      </w:r>
    </w:p>
    <w:p>
      <w:pPr>
        <w:spacing w:after="0" w:line="223"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231F20"/>
        </w:rPr>
        <w:t xml:space="preserve">Exclusive Option Agreements. </w:t>
      </w:r>
      <w:r>
        <w:rPr>
          <w:rFonts w:ascii="Times New Roman" w:cs="Times New Roman" w:eastAsia="Times New Roman" w:hAnsi="Times New Roman"/>
          <w:sz w:val="18"/>
          <w:szCs w:val="18"/>
          <w:color w:val="231F20"/>
        </w:rPr>
        <w:t>The respective equity investors of the VIEs entered into Exclusive Option Agreements with the WFOEs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respectively, pursuant to which the equity investors of the VIEs grant the WFOEs an irrevocable and exclusive right to purchase or designate one or more persons to purchase the equity interests in the VIEs then held by the equity investors of the VIEs once or at multiple times at any time in part or in whole at the WFOEs’ sole and absolute discretion to the extent permitted by PRC laws. The standard equity interest purchase price is US$1.5 (RMB10). If a minimum price limited by PRC law applicable is more than US$1.5 (RMB10), the purchase price of the equity interest shall equal such minimum price. The agreement shall remain effective for a term of ten years and renewable at the WFOEs’ election.</w:t>
      </w:r>
    </w:p>
    <w:p>
      <w:pPr>
        <w:spacing w:after="0" w:line="18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231F20"/>
        </w:rPr>
        <w:t xml:space="preserve">Powers of Attorney. </w:t>
      </w:r>
      <w:r>
        <w:rPr>
          <w:rFonts w:ascii="Times New Roman" w:cs="Times New Roman" w:eastAsia="Times New Roman" w:hAnsi="Times New Roman"/>
          <w:sz w:val="18"/>
          <w:szCs w:val="18"/>
          <w:color w:val="231F20"/>
        </w:rPr>
        <w:t>The equity investors of the VIEs signed the irrevocable Powers of Attorney to appoint the WFOEs as the attorney-in-fact to</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act on the equity investors’ behalf on all rights that the equity investors have in respect of their equity interest in the VIEs conferred by relevant laws and regulations and the articles of association of the VIEs. The rights include but not limited to attending shareholders meeting, exercising voting rights, designating and appointing on behalf of the equity investors, the legal representative (chairperson), the director, supervisor, the chief executive officer and other senior management members of the VIEs. Powers of attorney are coupled with an interest and shall be irrevocable and continuously valid from the date of execution of the Powers of Attorney.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VIE arrangements (Continued)</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231F20"/>
        </w:rPr>
        <w:t xml:space="preserve">Spousal Consent letters. </w:t>
      </w:r>
      <w:r>
        <w:rPr>
          <w:rFonts w:ascii="Times New Roman" w:cs="Times New Roman" w:eastAsia="Times New Roman" w:hAnsi="Times New Roman"/>
          <w:sz w:val="18"/>
          <w:szCs w:val="18"/>
          <w:color w:val="231F20"/>
        </w:rPr>
        <w:t>The spouse of each married equity investors of the VIEs has signed a spousal consent letter, which unconditionally and</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irrevocably agreed not to assert any rights over the equity interest in the VIEs held by and registered in the name of their spouse. In addition, in the event that the spouse obtains any equity interest in the VIEs for any reason, they agreed to be bound by the contractual arrangements.</w:t>
      </w:r>
    </w:p>
    <w:p>
      <w:pPr>
        <w:spacing w:after="0" w:line="17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231F20"/>
        </w:rPr>
        <w:t xml:space="preserve">Commitment letters. </w:t>
      </w:r>
      <w:r>
        <w:rPr>
          <w:rFonts w:ascii="Times New Roman" w:cs="Times New Roman" w:eastAsia="Times New Roman" w:hAnsi="Times New Roman"/>
          <w:sz w:val="18"/>
          <w:szCs w:val="18"/>
          <w:color w:val="231F20"/>
        </w:rPr>
        <w:t>The respective equity investors of the VIEs entered into Commitment letters with the WFOEs respectively. The equity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investors of the VIEs undertake that, when exercising their options, they will refund, without any conditions, any amount and fees to the WFOEs which exceed the share purchase price provided in the Exclusive Option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Agreements that were entered to transfer economic benefits to the Company</w:t>
      </w:r>
    </w:p>
    <w:p>
      <w:pPr>
        <w:spacing w:after="0" w:line="223"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231F20"/>
        </w:rPr>
        <w:t xml:space="preserve">Exclusive Business Cooperation Agreements. </w:t>
      </w:r>
      <w:r>
        <w:rPr>
          <w:rFonts w:ascii="Times New Roman" w:cs="Times New Roman" w:eastAsia="Times New Roman" w:hAnsi="Times New Roman"/>
          <w:sz w:val="18"/>
          <w:szCs w:val="18"/>
          <w:color w:val="231F20"/>
        </w:rPr>
        <w:t>The WFOEs entered into Exclusive Business Cooperation Agreements with the VIEs and their</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equity investors. Under the agreements, VIEs agree to appoint the WFOEs as their exclusive services provider to provide the business support, technical and consulting services at a determined price. The WFOEs shall have exclusive and proprietary rights and interests in all rights, ownership, interests and intellectual properties arising out of or created during the performance of the agreement. The annual service fee should not be less than 99% of VIEs’ total net profit and could be decided and adjusted by the WFOEs. The service agreements shall remain effective for ten years. The WFOEs has the right to unilaterally extend the agreement and the VIEs shall accept the extended term unconditionally.</w:t>
      </w:r>
    </w:p>
    <w:p>
      <w:pPr>
        <w:spacing w:after="0" w:line="18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231F20"/>
        </w:rPr>
        <w:t xml:space="preserve">Equity Pledge Agreements. </w:t>
      </w:r>
      <w:r>
        <w:rPr>
          <w:rFonts w:ascii="Times New Roman" w:cs="Times New Roman" w:eastAsia="Times New Roman" w:hAnsi="Times New Roman"/>
          <w:sz w:val="18"/>
          <w:szCs w:val="18"/>
          <w:color w:val="231F20"/>
        </w:rPr>
        <w:t>The equity investors of the VIEs entered into Equity Pledge Agreements with the WFOEs, under which the equity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investors pledged all of the equity interest in the VIEs to the WFOEs to ensure that the WFOEs collect all payments due by the VIEs, including without limitation the consulting and service fees regularly from the VIEs under the Exclusive Business Cooperation Agreements. The WFOEs shall have the right to collect dividends generated by the equity interest during the term of pledge. If any event of default, the WFOEs, as the pledgee, will be entitled to take possession of the equity interest pledged and to dispose of the pledged equity interest. The Equity Pledge Agreements remain continuously valid until all payments due under the Exclusive Business Cooperation Agreements have been fulfilled by the VIEs.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in relation to the VIE structure</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 believes that the WFOEs’ contractual arrangements with the VIEs and their respective subsidiaries are in compliance with PRC laws and are legally enforceable. The equity investors of the VIEs are also major shareholders of the Company and therefore have no current interest in seeking to act contrary to the contractual arrangements. However, uncertainties in the PRC legal system could limit the Company’s ability to enforce these contractual arrangements and if the shareholders were to reduce their interest in the Company, their interests may diverge from that of the Company and that may potentially increase the risk that they would seek to act contrary to the contractual terms, for example by influencing the VIEs not to pay the service fees when required to do so.</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Company’s ability to control the VIEs also depends on the Powers of attorney. The WFOEs have to vote on all matters requiring shareholders’ approval in the VIEs. As noted above, the Company believes this Powers of attorney is legally enforceable but may not be as effective as direct equity ownership.</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shareholders are required to complete the registration of the equity pledge under the agreements with competent government authorities. In case any of the shareholders is in breach, the WFOEs will be entitled to certain right, including the right to dispose the pledged equity interest and to receive proceeds from the auction or sale of the pledge equity interests. The Company has completed the registration of the equity pledges relating to the VIEs with the local government authorities.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in relation to the VIE structure (Continued)</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addition, if the legal structure and contractual arrangements were found to be in violation of any existing PRC laws and regulations, the PRC regulatory authorities could:</w:t>
      </w:r>
    </w:p>
    <w:p>
      <w:pPr>
        <w:spacing w:after="0" w:line="54" w:lineRule="exact"/>
        <w:rPr>
          <w:sz w:val="20"/>
          <w:szCs w:val="20"/>
          <w:color w:val="auto"/>
        </w:rPr>
      </w:pPr>
    </w:p>
    <w:p>
      <w:pPr>
        <w:ind w:left="1500" w:hanging="743"/>
        <w:spacing w:after="0"/>
        <w:tabs>
          <w:tab w:leader="none" w:pos="1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the Group’s business and operating licenses;</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discontinue or restrict its operations;</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Group’s right to collect revenues;</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or prohibit the Group to finance its business and operations in China;</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restructure the operations;</w:t>
      </w:r>
    </w:p>
    <w:p>
      <w:pPr>
        <w:spacing w:after="0" w:line="117"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additional conditions or requirements with which the Group might not be able to comply, levy fines, confiscate the Group’s income or the income of its PRC subsidiary or affiliated PRC entities; or</w:t>
      </w:r>
    </w:p>
    <w:p>
      <w:pPr>
        <w:spacing w:after="0" w:line="53"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other regulatory or enforcement actions against the Group that could be harmful to its business.</w:t>
      </w:r>
    </w:p>
    <w:p>
      <w:pPr>
        <w:spacing w:after="0" w:line="22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imposition of any of these penalties could result in a material adverse effect on the Group’s ability to conduct the Group’s business. In addition, if the imposition of any of these penalties causes the Group to lose the rights to direct the activities of the VIEs, VIEs’ subsidiaries, or the right to receive their economic benefits, the Group would no longer be able to consolidate the VIEs and VIEs’ subsidiaries. The Group does not believe that any penalties imposed or actions taken by the PRC government would result in the liquidation or dissolution of the Company, the WFOEs, the VIEs and their respective subsidiaries.</w:t>
      </w:r>
    </w:p>
    <w:p>
      <w:pPr>
        <w:spacing w:after="0" w:line="18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assets, liabilities, results of operations and cash flows of the VIEs and VIEs’ subsidiaries taken as a whole, which were included in the Group’s consolidated financial statements with intercompany balances and transactions eliminated between the VIEs and VIEs’ subsidiaries: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6"/>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0"/>
        </w:trPr>
        <w:tc>
          <w:tcPr>
            <w:tcW w:w="6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10"/>
        </w:trPr>
        <w:tc>
          <w:tcPr>
            <w:tcW w:w="6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59,584,580</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65,528,679</w:t>
            </w:r>
          </w:p>
        </w:tc>
        <w:tc>
          <w:tcPr>
            <w:tcW w:w="120" w:type="dxa"/>
            <w:vAlign w:val="bottom"/>
            <w:shd w:val="clear" w:color="auto" w:fill="CFF0FC"/>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8,219,993</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6,043,835</w:t>
            </w:r>
          </w:p>
        </w:tc>
        <w:tc>
          <w:tcPr>
            <w:tcW w:w="120" w:type="dxa"/>
            <w:vAlign w:val="bottom"/>
          </w:tcPr>
          <w:p>
            <w:pPr>
              <w:spacing w:after="0"/>
              <w:rPr>
                <w:sz w:val="18"/>
                <w:szCs w:val="18"/>
                <w:color w:val="auto"/>
              </w:rPr>
            </w:pPr>
          </w:p>
        </w:tc>
      </w:tr>
      <w:tr>
        <w:trPr>
          <w:trHeight w:val="210"/>
        </w:trPr>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67,804,573</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71,572,514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28,658,433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41,345,603</w:t>
            </w:r>
          </w:p>
        </w:tc>
        <w:tc>
          <w:tcPr>
            <w:tcW w:w="120" w:type="dxa"/>
            <w:vAlign w:val="bottom"/>
          </w:tcPr>
          <w:p>
            <w:pPr>
              <w:spacing w:after="0"/>
              <w:rPr>
                <w:sz w:val="18"/>
                <w:szCs w:val="18"/>
                <w:color w:val="auto"/>
              </w:rPr>
            </w:pPr>
          </w:p>
        </w:tc>
      </w:tr>
      <w:tr>
        <w:trPr>
          <w:trHeight w:val="216"/>
        </w:trPr>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1,319,839</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721,561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29,978,272</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42,067,164</w:t>
            </w:r>
          </w:p>
        </w:tc>
        <w:tc>
          <w:tcPr>
            <w:tcW w:w="120" w:type="dxa"/>
            <w:vAlign w:val="bottom"/>
          </w:tcPr>
          <w:p>
            <w:pPr>
              <w:spacing w:after="0"/>
              <w:rPr>
                <w:sz w:val="18"/>
                <w:szCs w:val="18"/>
                <w:color w:val="auto"/>
              </w:rPr>
            </w:pPr>
          </w:p>
        </w:tc>
      </w:tr>
      <w:tr>
        <w:trPr>
          <w:trHeight w:val="425"/>
        </w:trPr>
        <w:tc>
          <w:tcPr>
            <w:tcW w:w="6580" w:type="dxa"/>
            <w:vAlign w:val="bottom"/>
          </w:tcPr>
          <w:p>
            <w:pPr>
              <w:spacing w:after="0"/>
              <w:rPr>
                <w:sz w:val="24"/>
                <w:szCs w:val="24"/>
                <w:color w:val="auto"/>
              </w:rPr>
            </w:pPr>
          </w:p>
        </w:tc>
        <w:tc>
          <w:tcPr>
            <w:tcW w:w="4660" w:type="dxa"/>
            <w:vAlign w:val="bottom"/>
            <w:gridSpan w:val="9"/>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10"/>
        </w:trPr>
        <w:tc>
          <w:tcPr>
            <w:tcW w:w="6580" w:type="dxa"/>
            <w:vAlign w:val="bottom"/>
          </w:tcPr>
          <w:p>
            <w:pPr>
              <w:spacing w:after="0"/>
              <w:rPr>
                <w:sz w:val="18"/>
                <w:szCs w:val="18"/>
                <w:color w:val="auto"/>
              </w:rPr>
            </w:pPr>
          </w:p>
        </w:tc>
        <w:tc>
          <w:tcPr>
            <w:tcW w:w="10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09"/>
        </w:trPr>
        <w:tc>
          <w:tcPr>
            <w:tcW w:w="6580" w:type="dxa"/>
            <w:vAlign w:val="bottom"/>
          </w:tcPr>
          <w:p>
            <w:pPr>
              <w:spacing w:after="0"/>
              <w:rPr>
                <w:sz w:val="18"/>
                <w:szCs w:val="18"/>
                <w:color w:val="auto"/>
              </w:rPr>
            </w:pPr>
          </w:p>
        </w:tc>
        <w:tc>
          <w:tcPr>
            <w:tcW w:w="13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3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24,775,979</w:t>
            </w:r>
          </w:p>
        </w:tc>
        <w:tc>
          <w:tcPr>
            <w:tcW w:w="22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28,432,186</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34,131,716</w:t>
            </w:r>
          </w:p>
        </w:tc>
        <w:tc>
          <w:tcPr>
            <w:tcW w:w="120" w:type="dxa"/>
            <w:vAlign w:val="bottom"/>
            <w:shd w:val="clear" w:color="auto" w:fill="CFF0FC"/>
          </w:tcPr>
          <w:p>
            <w:pPr>
              <w:spacing w:after="0"/>
              <w:rPr>
                <w:sz w:val="18"/>
                <w:szCs w:val="18"/>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(4,204,124)</w:t>
            </w:r>
          </w:p>
        </w:tc>
        <w:tc>
          <w:tcPr>
            <w:tcW w:w="15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(1,185,593)</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(8,597,251)</w:t>
            </w:r>
          </w:p>
        </w:tc>
      </w:tr>
      <w:tr>
        <w:trPr>
          <w:trHeight w:val="414"/>
        </w:trPr>
        <w:tc>
          <w:tcPr>
            <w:tcW w:w="6580" w:type="dxa"/>
            <w:vAlign w:val="bottom"/>
          </w:tcPr>
          <w:p>
            <w:pPr>
              <w:spacing w:after="0"/>
              <w:rPr>
                <w:sz w:val="24"/>
                <w:szCs w:val="24"/>
                <w:color w:val="auto"/>
              </w:rPr>
            </w:pPr>
          </w:p>
        </w:tc>
        <w:tc>
          <w:tcPr>
            <w:tcW w:w="4660" w:type="dxa"/>
            <w:vAlign w:val="bottom"/>
            <w:gridSpan w:val="9"/>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09"/>
        </w:trPr>
        <w:tc>
          <w:tcPr>
            <w:tcW w:w="6580" w:type="dxa"/>
            <w:vAlign w:val="bottom"/>
          </w:tcPr>
          <w:p>
            <w:pPr>
              <w:spacing w:after="0"/>
              <w:rPr>
                <w:sz w:val="18"/>
                <w:szCs w:val="18"/>
                <w:color w:val="auto"/>
              </w:rPr>
            </w:pPr>
          </w:p>
        </w:tc>
        <w:tc>
          <w:tcPr>
            <w:tcW w:w="10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10"/>
        </w:trPr>
        <w:tc>
          <w:tcPr>
            <w:tcW w:w="6580" w:type="dxa"/>
            <w:vAlign w:val="bottom"/>
          </w:tcPr>
          <w:p>
            <w:pPr>
              <w:spacing w:after="0"/>
              <w:rPr>
                <w:sz w:val="18"/>
                <w:szCs w:val="18"/>
                <w:color w:val="auto"/>
              </w:rPr>
            </w:pPr>
          </w:p>
        </w:tc>
        <w:tc>
          <w:tcPr>
            <w:tcW w:w="13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3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(205,895)</w:t>
            </w:r>
          </w:p>
        </w:tc>
        <w:tc>
          <w:tcPr>
            <w:tcW w:w="158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(2,599,577)</w:t>
            </w: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(2,242,085)</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(6,169,149)</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1,626,555</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6,359,743</w:t>
            </w:r>
          </w:p>
        </w:tc>
        <w:tc>
          <w:tcPr>
            <w:tcW w:w="120" w:type="dxa"/>
            <w:vAlign w:val="bottom"/>
          </w:tcPr>
          <w:p>
            <w:pPr>
              <w:spacing w:after="0"/>
              <w:rPr>
                <w:sz w:val="18"/>
                <w:szCs w:val="18"/>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402,292</w:t>
            </w:r>
          </w:p>
        </w:tc>
        <w:tc>
          <w:tcPr>
            <w:tcW w:w="22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1,011,823</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1,163,072</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-2253615</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-2253615</wp:posOffset>
            </wp:positionV>
            <wp:extent cx="7747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-1971040</wp:posOffset>
            </wp:positionV>
            <wp:extent cx="6858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-1971040</wp:posOffset>
            </wp:positionV>
            <wp:extent cx="7747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in relation to the VIE structure (Continued)</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Total assets as of December 31, 2024 and 2025 disclosed above include amounts due from affiliated companies within the Group, amounting to US$42,440,971 and US$37,153,794, respectively. Total liabilities as of December 31, 2024 and 2025 disclosed above include amounts due to the internal companies amounting to US$17,061,601 and US$20,260,021 respectively. During 2023, 2024 and 2025, the VIEs earned inter-company total revenues amounting to US$21,984,942, US$25,695,953 and US$30,777,779, respectively. All of these intercompany balances and transactions have been eliminated in consolidation.</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Group’s main revenues were mostly generated from its wholly owned subsidiaries in New Zealand, Singapore, Hong Kong and the United States for the years ended December 31, 2023, 2024 and 2025. Most of Group’s consolidated VIEs and their subsidiaries operate business in the PRC and their main functions are to support Group’s licensed/registered entities in New Zealand, Singapore, and the United States (“Licensed Entities”). Certain of the costs generated by VIEs and their subsidiaries are covered by these Licensed Entities through inter-company transactions, and the Group expect that the Licensed Entities will cover a substantial majority of such costs in the future. In general, the holding company transfers funds from financing (including funds from its IPO, follow-on equity offerings, and offerings of convertible bonds, as applicable) to Licensed Entities in the form of capital injections or loans to support their business expansion. These Licensed Entities pay the Group’s consolidated VIEs and their subsidiaries periodically for the services rendered through inter-company transactions, pursuant to the terms of the contractual arrangements between them.</w:t>
      </w:r>
    </w:p>
    <w:p>
      <w:pPr>
        <w:spacing w:after="0" w:line="19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Company’s subsidiaries and consolidated VIEs did not declare nor distribute any dividends or distributions for the years ended December 31, 2023, 2024 and 2025. Additionally, the holding company did not declare nor distribute any dividends or distribution for the years ended December 31, 2023, 2024 and 2025.</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There are no consolidated VIEs’ assets that are collateralized for the VIEs’ obligations and can only be used to settle the VIEs’ obligations. There are no creditors (or beneficial interest holders) of the VIEs that have recourse to the general credit of the Company or any of its consolidated subsidiaries. There are no terms in any arrangements, considering both explicit arrangements and implicit variable interests that require the Company or its subsidiaries to provide financial support to the VIEs. However, if the VIEs ever need financial support, the Company or its subsidiaries may, at its option and subject to statutory limits and restrictions, provide financial support to its VIEs through loans to the shareholders of the VIEs or entrustment loans to the VIEs.</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Relevant PRC laws and regulations restrict the VIEs from transferring a portion of their net assets, equivalent to the balance of their statutory reserve and their share capital, to the Company in the form of loans and advances or cash dividends. Please refer to Note 22 for disclosure of restricted net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 of consolidation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the Group have been prepared in accordance with accounting principles generally accepted in the United States of America (“U.S. GAAP”). The consolidated financial statements of the Group include the financial statements of the Company, its wholly-owned subsidiaries, its VIEs and the VIEs’ subsidiaries. The Company believes that the disclosures are adequate to make the information presented not misleading.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82" w:lineRule="exact"/>
        <w:rPr>
          <w:sz w:val="20"/>
          <w:szCs w:val="20"/>
          <w:color w:val="auto"/>
        </w:rPr>
      </w:pPr>
    </w:p>
    <w:p>
      <w:pPr>
        <w:ind w:left="440" w:hanging="432"/>
        <w:spacing w:after="0"/>
        <w:tabs>
          <w:tab w:leader="none" w:pos="4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749"/>
        <w:spacing w:after="0" w:line="219" w:lineRule="exact"/>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and disclosed in the consolidated financial statements and accompanying notes. Significant accounting estimates reflected in the Group’s consolidated financial statements include allowance for doubtful accounts, the useful lives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impairment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and goodwill, fair value measurement of long-term equity securities without readily determinable fair value,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purchase price allocation for business acquisition,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2021 Series A1 note adopting the fair value option before modification (Note 9), the valuation allowance for deferred tax assets and income taxes. Actual results could differ from those estimates, and such differences may be material to the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80"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Authoritative literature provides a fair value hierarchy which prioritizes the inputs to valuation techniques used to measure fair value into three broad levels. The level in the hierarchy within which the fair value measurement in its entirety falls is based upon the lowest level of input that is significant to the fair value measurement as follows: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2</w:t>
      </w:r>
    </w:p>
    <w:p>
      <w:pPr>
        <w:spacing w:after="0" w:line="227" w:lineRule="exact"/>
        <w:rPr>
          <w:sz w:val="20"/>
          <w:szCs w:val="20"/>
          <w:color w:val="auto"/>
        </w:rPr>
      </w:pPr>
    </w:p>
    <w:p>
      <w:pPr>
        <w:jc w:val="both"/>
        <w:ind w:firstLine="749"/>
        <w:spacing w:after="0" w:line="220" w:lineRule="exact"/>
        <w:rPr>
          <w:sz w:val="20"/>
          <w:szCs w:val="20"/>
          <w:color w:val="auto"/>
        </w:rPr>
      </w:pPr>
      <w:r>
        <w:rPr>
          <w:rFonts w:ascii="Times New Roman" w:cs="Times New Roman" w:eastAsia="Times New Roman" w:hAnsi="Times New Roman"/>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derived valuations in which significant inputs are observable or can be derived principally from, or corroborated by, observable market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p>
    <w:p>
      <w:pPr>
        <w:spacing w:after="0" w:line="22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749"/>
        <w:spacing w:after="0" w:line="218" w:lineRule="exact"/>
        <w:rPr>
          <w:sz w:val="20"/>
          <w:szCs w:val="20"/>
          <w:color w:val="auto"/>
        </w:rPr>
      </w:pPr>
      <w:r>
        <w:rPr>
          <w:rFonts w:ascii="Times New Roman" w:cs="Times New Roman" w:eastAsia="Times New Roman" w:hAnsi="Times New Roman"/>
          <w:sz w:val="18"/>
          <w:szCs w:val="18"/>
          <w:color w:val="auto"/>
        </w:rPr>
        <w:t>The Group’s financial instruments consist primarily of cash and cash equivalents, cash-segregated for regulatory purpose, term deposits, financial instruments held, at fair value, derivative assets or liabilities in relation to the Company’s derivative transactions, receivables from or payables to customers, receivables from or payables to brokers, dealers, clearing organizations, amounts due from or to related parties,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equity securities without readily determinable fair value, long-term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and convertible bonds. The Company carries its financial instruments held, at fair value,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sales securities at fair value. Financial instruments held, at fair value, based upon quoted market price, mainly consist of stocks, funds and US treasuries. The carrying amounts of cash and cash equivalents, cash-segregated for regulatory purpose, term deposits, receivables from or payables to customers, receivables from or payables to brokers, dealers and clearing organizations, amounts due from or to related parties approximate their fair values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maturities of these instruments. The fair value of convertible bonds that adopted fair value option (2021 Series A1 Note) was measured using binomial-lattice option valuation model and significant unobservable inputs included share price, volatility, expected dividend, risk free interest rate and bond yield. The carrying amounts of convertible bonds issued approximate their fair values.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 may acquire derivative financial instruments (i.e., warrants) during the course of its IPO distribution services. The Company does not use derivative financial instruments for speculative purposes. The Company records the derivative financial instruments in financial instrument held, at fair value on its consolidated balance sheets and measures these instruments at fair value. As of December 31, 2024 and 2025, the Company held nil derivative financial instruments in the Company’s consolidated balance sheets. For the years ended December 31, 2023, 2024 and 2025, the Company recognized nil, nil and nil realized loss, as well as nil, nil and nil unrealized loss in other income in the Company’s consolidated statements of comprehensive income,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on hand, demand deposits with financial institutions, term deposits with an original maturity of three months or less and highly liquid investments, which are unrestricted from withdrawal or use, or which have original maturities of three months or less when purchased.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Cash-segregated for regulatory purpose</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Certain subsidiaries of the Company are obligated by rules mandated by their primary regulators to segregate or set aside amount of cash deposited by the customer and the Company. Such regulations are promulgated to protect customer assets and meet the capital adequacy and other regulatory requirement. A corresponding payable to customers is recorded upon receipt of the cash from the customer. Restricted cash represents cash and cash equivalents that are subject to withdrawal or usage restrictions. Cash segregated for regulatory purposes meets the definition of restricted cash and is included in “cash, cash equivalents and restricted cash” in the consolidated statements of cash flows.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TradeUP Securities, the Company’s broker-dealer subsidiary located in the USA, had a cash of US$1,301,618,645 and US$1,460,326,491 segregated for the exclusive benefit of customers under Rule 15c3-3 of the Securities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deposits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Term deposits consist of bank deposits with an original maturity of greater than three months.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 from and payables to Customers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Receivables from customers include the margin loans extended to consolidated accounts customers by the Group. Securities owned by the customers, which are not recorded in the consolidated balance sheets, are held as collateral for amounts due on the loan receivables. Receivables from customers are recorded net of allowance for doubtful accounts. Revenues earned from the margin loan transactions are included in interest income. Amounts receivable from customers that are determined by management to be uncollectible when the fair value of the collateral falls under the carrying value of the receivables and are recorded as bad debt expense in General and administrative in the consolidated statements of comprehensive income.</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Group’s New Zealand subsidiary offered housing loans with collateral of properties in 2024 and 2025. The housing loans were fixed interest rate loans with mortgages on the applicable properties. Interest is accrued and repaid monthly and the principal amounts are repaid upon maturity. The outstanding balance of the housing loans were US$12.4 million and US$29.6 million as of December 31, 2024 and 2025, respectively. The Group’s allowance for housing loans represents management’s estimate of expected credit losses over the remaining expected life of such loans that measured at amortized cost. Changes in the allowance are recorded in the provision for credit losses on the Group’s consolidated statements of comprehensive income. The Group applied a probability of default and loss given default (“PD/LGD”) method to determine the allowance. The PD/LGD method was based on probability of default, loss given default (i.e. the magnitude of the loss if there is a default) and the exposure at default. The assessment of the probability of default and loss given default is based on historical data and forward-looking credit parameters.</w:t>
      </w:r>
    </w:p>
    <w:p>
      <w:pPr>
        <w:spacing w:after="0" w:line="19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US$294,778 and US$14,292,716 of allowance for receivables from customers were recorded, respectively. During the year ended December 31, 2025, the company reversed US$1,777,415 of the previously recognized provisions due to customer repayments activities and the liquidation of borrower’s stock collateral by management.</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table below presents the movement of allowance for receivables from customers for the year ended December 31, 2024 and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gridSpan w:val="2"/>
          </w:tcPr>
          <w:p>
            <w:pPr>
              <w:ind w:left="67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Pr>
          <w:p>
            <w:pPr>
              <w:spacing w:after="0"/>
              <w:rPr>
                <w:sz w:val="20"/>
                <w:szCs w:val="20"/>
                <w:color w:val="auto"/>
              </w:rPr>
            </w:pPr>
          </w:p>
        </w:tc>
        <w:tc>
          <w:tcPr>
            <w:tcW w:w="292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5560" w:type="dxa"/>
            <w:vAlign w:val="bottom"/>
          </w:tcPr>
          <w:p>
            <w:pPr>
              <w:spacing w:after="0"/>
              <w:rPr>
                <w:sz w:val="18"/>
                <w:szCs w:val="18"/>
                <w:color w:val="auto"/>
              </w:rPr>
            </w:pPr>
          </w:p>
        </w:tc>
        <w:tc>
          <w:tcPr>
            <w:tcW w:w="166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US$</w:t>
            </w: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tcBorders>
              <w:top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7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991,286</w:t>
            </w:r>
          </w:p>
        </w:tc>
        <w:tc>
          <w:tcPr>
            <w:tcW w:w="29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15,284,002</w:t>
            </w: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Additional/(Reversal)</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14,292,716</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(1,777,415)</w:t>
            </w:r>
          </w:p>
        </w:tc>
      </w:tr>
      <w:tr>
        <w:trPr>
          <w:trHeight w:val="216"/>
        </w:trPr>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Write-off</w:t>
            </w:r>
          </w:p>
        </w:tc>
        <w:tc>
          <w:tcPr>
            <w:tcW w:w="16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(8,456,086)</w:t>
            </w:r>
          </w:p>
        </w:tc>
      </w:tr>
      <w:tr>
        <w:trPr>
          <w:trHeight w:val="209"/>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15,284,002</w:t>
            </w:r>
          </w:p>
        </w:tc>
        <w:tc>
          <w:tcPr>
            <w:tcW w:w="2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5,050,501</w:t>
            </w:r>
          </w:p>
        </w:tc>
      </w:tr>
      <w:tr>
        <w:trPr>
          <w:trHeight w:val="20"/>
        </w:trPr>
        <w:tc>
          <w:tcPr>
            <w:tcW w:w="556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-170815</wp:posOffset>
            </wp:positionV>
            <wp:extent cx="11112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Payables to customers represent the closing cash balance to the customers, which include cash deposit and cash collateral received or advanced from consolidated account customers derived from security borrowing and lending activities.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receives or advances cash collateral, in an amount equals to or in excess of the fair value of the securities borrowed and loaned by customers. The Company monitors the market value of securities borrowed and loaned on a daily basis, with additional collateral obtained or refunded as permitted contractually. </w:t>
      </w:r>
      <w:r>
        <w:rPr>
          <w:rFonts w:ascii="Times New Roman" w:cs="Times New Roman" w:eastAsia="Times New Roman" w:hAnsi="Times New Roman"/>
          <w:sz w:val="18"/>
          <w:szCs w:val="18"/>
          <w:color w:val="212529"/>
        </w:rPr>
        <w:t>Interest income and interest expense are recorded on an accrual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Receivables from </w:t>
      </w:r>
      <w:r>
        <w:rPr>
          <w:rFonts w:ascii="Times New Roman" w:cs="Times New Roman" w:eastAsia="Times New Roman" w:hAnsi="Times New Roman"/>
          <w:sz w:val="18"/>
          <w:szCs w:val="18"/>
          <w:b w:val="1"/>
          <w:bCs w:val="1"/>
          <w:i w:val="1"/>
          <w:iCs w:val="1"/>
          <w:color w:val="212529"/>
        </w:rPr>
        <w:t>and Payables to</w:t>
      </w:r>
      <w:r>
        <w:rPr>
          <w:rFonts w:ascii="Times New Roman" w:cs="Times New Roman" w:eastAsia="Times New Roman" w:hAnsi="Times New Roman"/>
          <w:sz w:val="18"/>
          <w:szCs w:val="18"/>
          <w:b w:val="1"/>
          <w:bCs w:val="1"/>
          <w:i w:val="1"/>
          <w:iCs w:val="1"/>
          <w:color w:val="auto"/>
        </w:rPr>
        <w:t xml:space="preserve"> brokers, dealers and clearing organizations</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Receivables from brokers, dealers and clearing organizations include customers’ cash deposits, the Group’s revenue receivables, cash collateral received for consolidated account customers’ security borrowing and lending activities, and net receivables arising from unsettled trades.</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Payables to brokers, dealers and clearing organizations include borrowed margin and cash collaterals received from securities borrowing and lending transactions.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Receivables from </w:t>
      </w:r>
      <w:r>
        <w:rPr>
          <w:rFonts w:ascii="Times New Roman" w:cs="Times New Roman" w:eastAsia="Times New Roman" w:hAnsi="Times New Roman"/>
          <w:sz w:val="18"/>
          <w:szCs w:val="18"/>
          <w:b w:val="1"/>
          <w:bCs w:val="1"/>
          <w:i w:val="1"/>
          <w:iCs w:val="1"/>
          <w:color w:val="212529"/>
        </w:rPr>
        <w:t>and Payables to</w:t>
      </w:r>
      <w:r>
        <w:rPr>
          <w:rFonts w:ascii="Times New Roman" w:cs="Times New Roman" w:eastAsia="Times New Roman" w:hAnsi="Times New Roman"/>
          <w:sz w:val="18"/>
          <w:szCs w:val="18"/>
          <w:b w:val="1"/>
          <w:bCs w:val="1"/>
          <w:i w:val="1"/>
          <w:iCs w:val="1"/>
          <w:color w:val="auto"/>
        </w:rPr>
        <w:t xml:space="preserve"> brokers, dealers and clearing organizations (Continued)</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Securities borrowing transactions require the Group to deposit cash with the lender, and securities lending transactions result in the Company receiving collateral in the form of cash from the brokers, dealers and clearing organization. The cash collateral advanced to or received from the brokers are in an amount generally equal to or in excess of the market value of the securities that borrowed or loaned by the consolidated account customers. The Group monitors the market value of securities borrowed and loaned on a daily basis, with additional collateral obtained or refunded as permitted contractually. Interest income and interest expense are recorded on an accrual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Prepaid expenses and other current assets mainly include service fees receivables generated from the Group’s wealth management service, initial public offering (“IPO”) distribution service and promotional and advertisement service, given the related revenue is separately recorded in Other revenues (see Note 2 Revenue recognition iv).</w:t>
      </w:r>
    </w:p>
    <w:p>
      <w:pPr>
        <w:spacing w:after="0" w:line="176"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Prepaid expenses and other current assets are recorded net of allowance for doubtful accounts. For the years ended December 31, 2024 and 2025, nil and US$3,109,742 of allowance for prepaid expenses and other current assets were recorded, respectively. Please refer to Note 3 for disclosure of prepaid expenses and other current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 assets held</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No. 2023-08, Intangibles— Goodwill and Other—Crypto Assets (Subtopic 350-60): Accounting for and Disclosure of Crypto Assets (“ASU 2023-08”). Before adoption of ASU 2023-08, the Group recorded its crypto assets in Property, equipment and intangible assets, net as Others in the consolidated balance sheets. ASU 2023-08 requires certain crypto assets to be measured at fair value separately on the balance sheet with changes reported in the statement of operations each reporting period.</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Group adopted this guidance from January 1, 2025, and recorded such crypto asset balance in Crypto assets held as of December 31, 2025, with a cumulative-effect adjustment of US$2,294,229 to the opening balance of Retained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Crypto-assets safeguarding liability and corresponding safeguarding asset</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In March 2025, the FASB issued ASU 2025-02, Liabilities (Topic 405): Amendments to SEC Paragraphs Pursuant to SEC Staff Accounting Bulletin (“SAB”) No. 122, which amended the Accounting Standards Codification to remove the text of SAB 121 “Accounting for Obligations to Safeguard Crypto-Assets an Entity Holds for its Platform Users” as it has been rescinded by the issuance of SAB 122. Retrospective application to all prior periods presented in the financial statements is required. SAB 122 requires that an entity who has an obligation to safeguard crypto-assets for others should determine whether to recognize a liability related to the risk of loss under such an obligation, and if so, the measurement of such a liability, by applying the recognition and measurement requirements in accordance with FASB ASC Subtopic 450-20, “Loss Contingencies.” As of December 31, 2024 and 2025, respectively, no loss events have been identified. The Group adopted this guidance with retrospective application to all prior periods presented and the previously reported amount in the consolidated balance sheets is immaterial.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intangible assets, net</w:t>
      </w:r>
    </w:p>
    <w:p>
      <w:pPr>
        <w:spacing w:after="0" w:line="229" w:lineRule="exact"/>
        <w:rPr>
          <w:sz w:val="20"/>
          <w:szCs w:val="20"/>
          <w:color w:val="auto"/>
        </w:rPr>
      </w:pPr>
    </w:p>
    <w:p>
      <w:pPr>
        <w:jc w:val="both"/>
        <w:ind w:firstLine="749"/>
        <w:spacing w:after="0" w:line="239" w:lineRule="exact"/>
        <w:rPr>
          <w:sz w:val="20"/>
          <w:szCs w:val="20"/>
          <w:color w:val="auto"/>
        </w:rPr>
      </w:pPr>
      <w:r>
        <w:rPr>
          <w:rFonts w:ascii="Times New Roman" w:cs="Times New Roman" w:eastAsia="Times New Roman" w:hAnsi="Times New Roman"/>
          <w:sz w:val="18"/>
          <w:szCs w:val="18"/>
          <w:color w:val="auto"/>
        </w:rPr>
        <w:t>Property and equipment mainly consist of electronic equipment, office equipment, leasehold improvements and software. The property and equipment are carried at cost less accumulated depreciation. Depreciation is calculated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following estimated useful lives: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7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5-14.25 years</w:t>
            </w: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7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the lease terms or the estimated useful lives of the assets</w:t>
            </w:r>
          </w:p>
        </w:tc>
      </w:tr>
    </w:tbl>
    <w:p>
      <w:pPr>
        <w:spacing w:after="0" w:line="1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Intangible assets mainly consist of the brokerage’s license in USA, New Zealand, Hong Kong and Australia acquired by the Company, which are recognized as intangible assets with indefinite life, and it should not be amortized until its useful life is determined to be no longer indefinite. An intangible asset that is not subject to amortization is tested for impairment at least annually or if events or changes in circumstances indicate that the asset might be impaired. The Group also holds a trademark which is an intangible asset with a definite useful life of around 8 years. Intangible assets with definite lives are carried at cost less accumulated amortization and impairment loss, if any, and are amortized using the straight-line method over the estimated economic lives.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acquired in business combinations. Goodwill is not amortized but is tested for impairment annually or more frequently if events or changes in circumstances indicate that it might be impaired.</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Goodwill is tested for impairment at the reporting unit level on an annual basis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80" w:lineRule="exact"/>
        <w:rPr>
          <w:sz w:val="20"/>
          <w:szCs w:val="20"/>
          <w:color w:val="auto"/>
        </w:rPr>
      </w:pPr>
    </w:p>
    <w:p>
      <w:pPr>
        <w:jc w:val="both"/>
        <w:ind w:firstLine="749"/>
        <w:spacing w:after="0" w:line="219" w:lineRule="exact"/>
        <w:rPr>
          <w:sz w:val="20"/>
          <w:szCs w:val="20"/>
          <w:color w:val="auto"/>
        </w:rPr>
      </w:pPr>
      <w:r>
        <w:rPr>
          <w:rFonts w:ascii="Times New Roman" w:cs="Times New Roman" w:eastAsia="Times New Roman" w:hAnsi="Times New Roman"/>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estimation of fair value of each reporting unit using a discounted cash flow methodology also requires significant judgments, including estimation of future cash flows, which is dependent on internal forecasts, estimation of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rate of growth for the Group’s business, estimation of the useful life over which cash flows will occur, and determination of the Group’s weighted average cost of capital. The estimates used to calculate the fair value of a reporting unit change from year to year based on operating results and market conditions. Changes in these estimates and assumptions could materially affect the determination of fair value and goodwill impairment for the reporting unit.</w:t>
      </w:r>
    </w:p>
    <w:p>
      <w:pPr>
        <w:spacing w:after="0" w:line="20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Group first assesses relevant events and circumstances to determine whether it is necessary to perform the two-step goodwill impairment test. If, after assessing the totality of events or circumstances such as those described in the preceding paragraph, the Group determines that it is not more likely than not that the fair value of a reporting unit is less than its carrying amount, then the first and second steps of the goodwill impairment test are unnecessary. The first step of the goodwill impairment test, used to identify potential impairment, compares the fair value of a reporting unit with its carrying amount, including goodwill. If the carrying amount of a reporting unit is greater than zero and its fair value exceeds its carrying amount, goodwill of the reporting unit is considered not impaired and the second step of the impairment test is unnecessary.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an entry to adjust the value of any assets or liabilities. The Group concluded that the estimated fair value of the reporting unit substantially exceeded the underlying carrying value as of December 31, 2024 and 2025. No impairment charge was recognized for the years ended December 31, 2023, 2024 and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Group leases offices and other facilities in different cities in the PRC, New Zealand, Singapore, USA and other countries. The Group determines whether an arrangement constitutes a lease and records lease liabilities and right-of-use assets on its consolidated balance sheets at the lease commencement. The Group measures its lease liabilities based on the present value of the total lease payments not yet paid discounted based on the more readily determinable of the rate implicit in the lease or its incremental borrowing rate, which is the estimated rate the Group would be required to pay for a collateralized borrowing equal to the total lease payments over the term of the lease. The Group estimates its respective incremental borrowing rate for each jurisdiction based on their analysis of publicly traded debt securities of companies with credit and financial profiles similar to its own. The Group measures right-of-use assets based on the corresponding lease liability adjusted for payments made to the lessor at the commencement date, and initial direct costs it incurs under the lease. The Group begins recognizing operating lease expense when the lessor makes the underlying asset available to the Group. The Group’s leases have remaining lease terms of up to three years, some of which include options to extend the leases for an additional period which has to be agreed with the lessors based on mutual negotiation. After considering the factors that create an economic incentive, the Group did not include renewal option periods in the lease term for which it is not reasonably certain to exercise.</w:t>
      </w:r>
    </w:p>
    <w:p>
      <w:pPr>
        <w:spacing w:after="0" w:line="19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short-term leases, the Group records operating lease expense in its consolidated statements of comprehensive income on a straight-line basis over the lease term and record variable lease payments as incurred.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i w:val="1"/>
          <w:iCs w:val="1"/>
          <w:color w:val="auto"/>
        </w:rPr>
        <w:t>term investments</w:t>
      </w:r>
    </w:p>
    <w:p>
      <w:pPr>
        <w:spacing w:after="0" w:line="225"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The Group’s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consist of equity securities without readily determinable fair values, and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w:t>
      </w:r>
    </w:p>
    <w:p>
      <w:pPr>
        <w:spacing w:after="0" w:line="266" w:lineRule="exact"/>
        <w:rPr>
          <w:sz w:val="20"/>
          <w:szCs w:val="20"/>
          <w:color w:val="auto"/>
        </w:rPr>
      </w:pPr>
    </w:p>
    <w:p>
      <w:pPr>
        <w:ind w:left="760" w:hanging="752"/>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without readily determinable fair values</w:t>
      </w:r>
    </w:p>
    <w:p>
      <w:pPr>
        <w:spacing w:after="0" w:line="225" w:lineRule="exact"/>
        <w:rPr>
          <w:rFonts w:ascii="Times New Roman" w:cs="Times New Roman" w:eastAsia="Times New Roman" w:hAnsi="Times New Roman"/>
          <w:sz w:val="18"/>
          <w:szCs w:val="18"/>
          <w:color w:val="auto"/>
        </w:rPr>
      </w:pPr>
    </w:p>
    <w:p>
      <w:pPr>
        <w:jc w:val="both"/>
        <w:ind w:left="7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in equity securities without readily determinable fair values, the Group elects to use the measurement alternative defined as cost, less impairment, adjusted by observable price change. The Group reviews its equity securities without readily determinable fair values investments for impairment at each reporting period by performing a qualitative assessment considering impairment indicators. The Group also make a reasonable effort to identify observable price changes in orderly transactions for the identical or a similar investment of the same issuer in each accounting period for equity securities without readily determinable fair values and adjust the carrying amount to reflect their fair value once observable price changes have been identified. The Group recorded nil, nil and US$200,237 impairment loss on its equity securities without readily determinable fair values during the years ended December 31, 2023, 2024 and 2025.</w:t>
      </w:r>
    </w:p>
    <w:p>
      <w:pPr>
        <w:spacing w:after="0" w:line="147" w:lineRule="exact"/>
        <w:rPr>
          <w:rFonts w:ascii="Times New Roman" w:cs="Times New Roman" w:eastAsia="Times New Roman" w:hAnsi="Times New Roman"/>
          <w:sz w:val="18"/>
          <w:szCs w:val="18"/>
          <w:color w:val="auto"/>
        </w:rPr>
      </w:pPr>
    </w:p>
    <w:p>
      <w:pPr>
        <w:ind w:left="760" w:hanging="752"/>
        <w:spacing w:after="0" w:line="207" w:lineRule="exact"/>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w:t>
      </w:r>
    </w:p>
    <w:p>
      <w:pPr>
        <w:spacing w:after="0" w:line="225" w:lineRule="exact"/>
        <w:rPr>
          <w:rFonts w:ascii="Times New Roman" w:cs="Times New Roman" w:eastAsia="Times New Roman" w:hAnsi="Times New Roman"/>
          <w:sz w:val="18"/>
          <w:szCs w:val="18"/>
          <w:color w:val="auto"/>
        </w:rPr>
      </w:pPr>
    </w:p>
    <w:p>
      <w:pPr>
        <w:ind w:left="760"/>
        <w:spacing w:after="0" w:line="25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which are determined to be debt securities, the Group accounts for them as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when they are not classified as either trading or held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maturity investments.</w:t>
      </w:r>
    </w:p>
    <w:p>
      <w:pPr>
        <w:spacing w:after="0" w:line="130" w:lineRule="exact"/>
        <w:rPr>
          <w:rFonts w:ascii="Times New Roman" w:cs="Times New Roman" w:eastAsia="Times New Roman" w:hAnsi="Times New Roman"/>
          <w:sz w:val="18"/>
          <w:szCs w:val="18"/>
          <w:color w:val="auto"/>
        </w:rPr>
      </w:pPr>
    </w:p>
    <w:p>
      <w:pPr>
        <w:ind w:left="760"/>
        <w:spacing w:after="0" w:line="24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are carried at its fair value and the unrealized gains or losses from the changes in fair values are included in accumulated other comprehensive income or loss to extent not credit related.</w:t>
      </w:r>
    </w:p>
    <w:p>
      <w:pPr>
        <w:spacing w:after="0" w:line="198" w:lineRule="exact"/>
        <w:rPr>
          <w:rFonts w:ascii="Times New Roman" w:cs="Times New Roman" w:eastAsia="Times New Roman" w:hAnsi="Times New Roman"/>
          <w:sz w:val="18"/>
          <w:szCs w:val="18"/>
          <w:color w:val="auto"/>
        </w:rPr>
      </w:pPr>
    </w:p>
    <w:p>
      <w:pPr>
        <w:jc w:val="both"/>
        <w:ind w:left="760"/>
        <w:spacing w:after="0" w:line="21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reviews its investments for other than credit-related impairment based on the specific identification method. The Group considers available quantitative and qualitative evidence in evaluating potential impairment of its investments. If the cost of an investment exceeds the investment’s fair value, the Group considers, among other factors, general market conditions, government economic plans, the duration and the extent to which the fair value of the investment is less than the cost, the Group’s intent and ability to hold the investment, and the financial condition and near term prospects of the investees. The Group recorded nil, nil and nil credit-related impairment losses on its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during the years ended December 31, 2023, 2024 and 2025,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accordance with ASC 323 Investment – Equity Method and Joint Ventures, the Group accounts for an equity method investment over which it has significant influence but does not own a majority of the equity interest or otherwise controls and the investments are either common stock or in substance common stock using the equity method. The Group’s share of the investee’s profit and loss is recognized in the consolidated statements comprehensive income of the period. The Group choose to apply the nature of the distribution approach when receiving distributions from equity method investee in the consolidated statements of cash flow.</w:t>
      </w:r>
    </w:p>
    <w:p>
      <w:pPr>
        <w:spacing w:after="0" w:line="18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An impairment loss on the equity method investments is recognized in the consolidated statements of comprehensive income when the decline in value is determined to be other-than-temporary. The Group recorded nil, nil and nil impairment losses on its equity method investment during the years ended December 31, 2023, 2024 and 2025,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Bonds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Group’s convertible bonds may be settled entirely or partially in cash at the Company’s option. They were not issued at a substantial premium and do not contain conversion features that are required to be accounted for as derivatives, and therefore in accordance with ASC 470-20 Debt with Conversion and Other Options, the Group accounts for its convertible bonds as a single instrument classified as a liability. Please refer to Note 9 for disclosure of convertible bond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Revenue from contracts with customers is recognized when or as the Group satisfies its performance obligations by transferring the promised services to the customers. A service is transferred to a customer when or as the customer obtains control of that service. A performance obligation may be satisfied at a point in time or over time. Revenue from a performance obligation satisfied at a point in time is recognized at the point in time that the Group determines the customer obtains control over the promised service. Revenue from a performance obligation satisfied over time is recognized by measuring the Group’s progress in satisfying the performance obligation in a manner that depicts the transfer of the services to the customer. The amount of revenue recognized reflects the consideration the Group expects to receive in exchange for those promised services (i.e., the “transaction price”).</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Group’s revenues from contracts with customers are recognized when the performance obligations are satisfied at an amount that reflects the consideration expected to be received in exchange for such services. The majority of the Group’s performance obligations are satisfied at a point in time upon the successful execution and clearing of the customer’s trade order. Revenue is collected from the Group’s clearing partners in the brokerage business or from the customers directly by debiting their brokerage account with the Group.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Nature of Services</w:t>
      </w:r>
    </w:p>
    <w:p>
      <w:pPr>
        <w:spacing w:after="0" w:line="22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Group’s services under contracts with customers are mainly related to its commission earned from its online brokerage business under the consolidated accounts (which customer information are not disclosed to the broker) and the fully disclosed accounts. The Group’s main sources of revenue from contracts with customers are as follows:</w:t>
      </w:r>
    </w:p>
    <w:p>
      <w:pPr>
        <w:spacing w:after="0" w:line="176" w:lineRule="exact"/>
        <w:rPr>
          <w:sz w:val="20"/>
          <w:szCs w:val="20"/>
          <w:color w:val="auto"/>
        </w:rPr>
      </w:pPr>
    </w:p>
    <w:p>
      <w:pPr>
        <w:jc w:val="both"/>
        <w:ind w:left="1500" w:hanging="743"/>
        <w:spacing w:after="0" w:line="266" w:lineRule="auto"/>
        <w:tabs>
          <w:tab w:leader="none" w:pos="1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earned for the Group’s online brokerage business in customers’ fully disclosed accounts and consolidated accounts are charged for each customer trade order executed and cleared by broker on a trade date basis and are reported as commissions in the consolidated statements of comprehensive income.</w:t>
      </w:r>
    </w:p>
    <w:p>
      <w:pPr>
        <w:spacing w:after="0" w:line="176" w:lineRule="exact"/>
        <w:rPr>
          <w:sz w:val="20"/>
          <w:szCs w:val="20"/>
          <w:color w:val="auto"/>
        </w:rPr>
      </w:pPr>
    </w:p>
    <w:p>
      <w:pPr>
        <w:jc w:val="both"/>
        <w:ind w:left="1500"/>
        <w:spacing w:after="0" w:line="220" w:lineRule="exact"/>
        <w:rPr>
          <w:sz w:val="20"/>
          <w:szCs w:val="20"/>
          <w:color w:val="auto"/>
        </w:rPr>
      </w:pPr>
      <w:r>
        <w:rPr>
          <w:rFonts w:ascii="Times New Roman" w:cs="Times New Roman" w:eastAsia="Times New Roman" w:hAnsi="Times New Roman"/>
          <w:sz w:val="18"/>
          <w:szCs w:val="18"/>
          <w:color w:val="auto"/>
        </w:rPr>
        <w:t>According to the attributes of transactions under consolidated accounts, the Group provides brokerage service for its customers. Commission fees are deducted from the customer’s account at the time of trade order initiation and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determined portion is directed to the broker. The Group recognizes revenue at the time of execution of the order (i.e., trade date) on a gross basis as the Group is determined to be the primary obligor in fulfilling the trade order initiated by the customer.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Nature of Services (Continued)</w:t>
      </w:r>
    </w:p>
    <w:p>
      <w:pPr>
        <w:spacing w:after="0" w:line="227" w:lineRule="exact"/>
        <w:rPr>
          <w:sz w:val="20"/>
          <w:szCs w:val="20"/>
          <w:color w:val="auto"/>
        </w:rPr>
      </w:pPr>
    </w:p>
    <w:p>
      <w:pPr>
        <w:jc w:val="both"/>
        <w:ind w:left="1500" w:hanging="743"/>
        <w:spacing w:after="0" w:line="219" w:lineRule="exact"/>
        <w:tabs>
          <w:tab w:leader="none" w:pos="1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attributes of transactions under fully disclosed accounts, the Group provides the agreed services to its customers in facilitating the trades. Every time the broker executes and clears a trade, the broker collects the commissions, deducts its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determined portion and returns the rest of the commission fees to the Group. Accordingly, the commission fee is recorded on a net basis. Financing service fees are related to margin loans and securities borrowing and lending activities provided by the brokers under the fully disclosed accounts. Revenue is recognized over the period that the margin loans and securities borrowing and lending activities are outstanding.</w:t>
      </w:r>
    </w:p>
    <w:p>
      <w:pPr>
        <w:spacing w:after="0" w:line="202"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generated from margin loans and securities borrowing and lending activities provided to consolidated account customers, interest income from bank deposits and US Treasuries. Interest income is recognized on an accrual basis.</w:t>
      </w:r>
    </w:p>
    <w:p>
      <w:pPr>
        <w:spacing w:after="0" w:line="161" w:lineRule="exact"/>
        <w:rPr>
          <w:rFonts w:ascii="Times New Roman" w:cs="Times New Roman" w:eastAsia="Times New Roman" w:hAnsi="Times New Roman"/>
          <w:sz w:val="18"/>
          <w:szCs w:val="18"/>
          <w:color w:val="auto"/>
        </w:rPr>
      </w:pPr>
    </w:p>
    <w:p>
      <w:pPr>
        <w:jc w:val="both"/>
        <w:ind w:left="1500" w:hanging="743"/>
        <w:spacing w:after="0" w:line="253" w:lineRule="auto"/>
        <w:tabs>
          <w:tab w:leader="none" w:pos="1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revenues consist of the revenue arising from fund management service, IPO distribution service, currency exchange service and others. Wealth management service is mainly derived from fund management which the Group acts as a fund manager mainly in Singapore. Wealth management revenue is mainly recognized over the service period. The related revenue from wealth management service amounted at US$704,119, US$929,740 and US$19,888,336 for the years ended December 31, 2023, 2024 and 2025. Revenue from the IPO distribution service is derived from IPO underwriting and new share subscription services in relation to IPOs in the USA and Hong Kong capital market. IPO distribution revenue is generally recognized when the services are completed. The related revenue from IPO distribution services amounted at US$4,111,076, US$9,305,372 and US$18,171,176 for the years ended December 31, 2023, 2024 and 2025. Revenue from currency exchange service is charged to the Group’s clients for providing currency exchange service, which was recorded upon the time when the services are rendered to customers. The related revenue from currency exchange service amounted at US$5,326,985, US$9,462,749 and US$16,554,599 for the years ended December 31, 2023, 2024 and 2025. The Group also provides promotional and advertisement service and financial advisory service under the contracts with customers, which are recorded over the period of service provided.</w:t>
      </w:r>
    </w:p>
    <w:p>
      <w:pPr>
        <w:spacing w:after="0" w:line="19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Contract liabilities arise when customers remit contractual cash payments in advance of the Company satisfying its performance obligations under the contract and are derecognized when the revenue associated with the contract is recognized either when a milestone is met triggering the contractual right to bill the customer or when the performance obligation is satisfied. Contract liabilities are reported in deferred income and accrued expenses and other current liabilities-advanced from customers in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consist of salaries and employee benefits, rental and depreciation expenses related to the development of the Group’s proprietary trading platform, back-end technology and customer relationship management system. For the years ended December 31, 2023, 2024 and 2025, US$63,458,798, US$80,128,144 and US$100,014,086 of research and development costs have all been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Depreciation and Amortization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Occupancy expenses consist primarily of lease payments on office and data center leases and related occupancy costs, such as utilities. Depreciation and amortization expenses result from the depreciation of fixed assets, such as electronic equipment, office equipment as well as leasehold improvements and the amortization of intangible assets.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Share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-43815</wp:posOffset>
            </wp:positionV>
            <wp:extent cx="64135" cy="3937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9">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jc w:val="both"/>
        <w:ind w:firstLine="749"/>
        <w:spacing w:after="0" w:line="225"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 transactions with employees and managements, such as share options are measured based on the grant date fair value of the equity instrument. The Group has elected to recognize compensation expenses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for all employee equity awards granted with graded vesting provided that the cumulative amount of compensation cost recognized at any date is at least equal to the portion of the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value of the options that are vested at that date, over the requisite service period of the award, which is generally the vesting period of the award. Compensation expenses for awards with performance conditions is recognized when it is probable that the performance condition will be achieved. The Group elects to recognize forfeitures when they occur. Compensation expenses for awards with service conditions is recognized on a straight-line method over the requisite service period.</w:t>
      </w:r>
    </w:p>
    <w:p>
      <w:pPr>
        <w:spacing w:after="0" w:line="19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cancellation of an award accompanied by the concurrent grant of a replacement award is accounted for as a modification of the terms of the awards. The incremental compensation cost is measured as the excess of the fair value of the modified award over the fair value of the modified award at the modification date. The incremental portion of share-based compensation for the vested portion is recognized immediately and the incremental portion of share-based compensation for the unvested portion is recognized over the remaining vesting period of the award. If an award is canceled without the concurrent grant of a replacement award or any other consideration, unrecognized compensation cost related to the canceled award is recognized immediately upon cancelation.</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For awards granted with a performance condition that affects vesting, the performance condition is not considered in determining the award’s grant-date fair value; however, the performance condition is considered when estimating the quantity of awards that are expected to vest. No compensation expense is recorded for awards with a performance condition unless and until the performance condition is determined to be probable of achievement.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749"/>
        <w:spacing w:after="0" w:line="220" w:lineRule="exact"/>
        <w:rPr>
          <w:sz w:val="20"/>
          <w:szCs w:val="20"/>
          <w:color w:val="auto"/>
        </w:rPr>
      </w:pPr>
      <w:r>
        <w:rPr>
          <w:rFonts w:ascii="Times New Roman" w:cs="Times New Roman" w:eastAsia="Times New Roman" w:hAnsi="Times New Roman"/>
          <w:sz w:val="18"/>
          <w:szCs w:val="18"/>
          <w:color w:val="auto"/>
        </w:rPr>
        <w:t>Current taxes are provided for in accordance with the laws of the relevant taxing authorities. Deferred taxes are recognized when temporary differences exist between the tax basis of assets and liabilities and their reported amounts in the consolidated financial statements. Deferred tax assets and liabilities, including those for net operating loss carryforwards are measured using enacted statutory tax rates applicable to future years. Deferred tax assets are reduced by a valuation allowance if, in the opinion of management, it is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that some portion or all of the deferred tax assets will not be realized.</w:t>
      </w:r>
    </w:p>
    <w:p>
      <w:pPr>
        <w:spacing w:after="0" w:line="20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Group accounts for uncertainty in income taxes by recording an unrecognized tax benefit resulting from tax positions taken or expected to be taken in a tax return. The financial statement effects of tax positions are recognized when the Group believes that it is more likely than not that the tax position will be sustained on examination by the taxing authorities based on the technical merits of the position. A tax position that meets the more likely than not recognition threshold is measured as the largest amount of tax benefit that is greater than 50 percent likely of being realized upon settlement. The Group presents interest and penalties, if any, related to income taxes in income tax expense.</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Group accounts for residual income tax effects in accumulated other comprehensive income due to a change in tax law or a change in judgment about realization of a valuation allowance using the portfolio method and only releases residual amounts when the entire portfolio is liquidated.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or loss</w:t>
      </w:r>
    </w:p>
    <w:p>
      <w:pPr>
        <w:spacing w:after="0" w:line="229" w:lineRule="exact"/>
        <w:rPr>
          <w:sz w:val="20"/>
          <w:szCs w:val="20"/>
          <w:color w:val="auto"/>
        </w:rPr>
      </w:pPr>
    </w:p>
    <w:p>
      <w:pPr>
        <w:jc w:val="both"/>
        <w:ind w:firstLine="749"/>
        <w:spacing w:after="0" w:line="220" w:lineRule="exact"/>
        <w:rPr>
          <w:sz w:val="20"/>
          <w:szCs w:val="20"/>
          <w:color w:val="auto"/>
        </w:rPr>
      </w:pPr>
      <w:r>
        <w:rPr>
          <w:rFonts w:ascii="Times New Roman" w:cs="Times New Roman" w:eastAsia="Times New Roman" w:hAnsi="Times New Roman"/>
          <w:sz w:val="18"/>
          <w:szCs w:val="18"/>
          <w:color w:val="auto"/>
        </w:rPr>
        <w:t>Comprehensive income or loss consists of two components, net income or loss and other comprehensive income or loss, net of tax. Other comprehensive income or loss refers to revenue, expenses, and gains and losses that are recorded as an element of shareholders’ equity but are excluded from net income or loss. The Group’s other comprehensive income or loss consists of foreign currency translation adjustments from its subsidiaries not using the US$ as their functional currency and the fair value change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of the Group, if any. Comprehensive income or loss is reported in the consolidated statements of comprehensive income.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Group accounted for those shares repurchased as treasury stock at cost, Treasury stock, and is shown separately in the shareholders’ equity as the Company has not yet decided on the ultimate disposition of those shares acquired. When the Company decides to cancel the treasury stock, the difference between the original issuance price and the repurchase price is debited into additional paid-in capital. Refer to Note 15 for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8" w:lineRule="exact"/>
        <w:rPr>
          <w:sz w:val="20"/>
          <w:szCs w:val="20"/>
          <w:color w:val="auto"/>
        </w:rPr>
      </w:pPr>
    </w:p>
    <w:p>
      <w:pPr>
        <w:jc w:val="both"/>
        <w:ind w:firstLine="749"/>
        <w:spacing w:after="0" w:line="231" w:lineRule="exact"/>
        <w:rPr>
          <w:sz w:val="20"/>
          <w:szCs w:val="20"/>
          <w:color w:val="auto"/>
        </w:rPr>
      </w:pPr>
      <w:r>
        <w:rPr>
          <w:rFonts w:ascii="Times New Roman" w:cs="Times New Roman" w:eastAsia="Times New Roman" w:hAnsi="Times New Roman"/>
          <w:sz w:val="18"/>
          <w:szCs w:val="18"/>
          <w:color w:val="auto"/>
        </w:rPr>
        <w:t>For the Company’s consolidated subsidiaries, VIEs and the VIEs’ subsidiaries,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controlling interests are recognized to reflect the portion of their equity that is not attributable, directly or indirectly, to the Company as the controlling shareholder.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controlling interests are classified as a separate line item in the equity section of the Group’s consolidated balance sheets and have been separately disclosed in the Group’s consolidated statements of comprehensive income to distinguish the interests from that of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Redeemable non-controlling interests represent preferred shares financing by a consolidated VIE’s subsidiary of the Group from preferred shareholders. As the preferred shares could be redeemed by such shareholders upon the occurrence of certain events that are not solely within the control of the Group, these preferred shares are accounted for as redeemable non-controlling interests. The Group accounts for the changes in accretion to the redemption value in accordance with ASC topic 480, Distinguishing Liabilities from Equity and recorded accretions on the preferred shares to the redemption value from the issuance dates to the earliest redemption 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reporting currency of the Company is the US$. The Company and the Company’s subsidiaries with operations in the PRC, Hong Kong, New Zealand, Singapore, Australia, the United States and other jurisdictions use their respective local currencies as their functional currencies except for TBNZ which the functional currency is US$. The financial statements of the Company’s subsidiaries, other than the subsidiaries with functional currency in US$, are translated into US$ using the exchange rate as of the balance sheet date for assets and liabilities and the average daily exchange rate for each month for income and expense items. Translation gains and losses are recorded as a separate component of other comprehensive income (loss) in the consolidated statements of change in equity and consolidated statements of comprehensive income.</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the financial statements of the Company’s subsidiaries, transactions in currencies other than the functional currency are measured and recorded in the functional currency using the exchange rate in effect at the date of the transaction. At the balance sheet date, monetary assets and liabilities that are denominated in currencies other than the functional currency are translated into the functional currency using the exchange rate at the balance sheet date. All gains and losses arising from foreign currency transactions are recorded in other income in the consolidated statements of comprehensive income during the year in which they occur.</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RMB is not a freely convertible currency. The State Administration for Foreign Exchange, under the authority of the People’s Bank of China, controls the conversion of RMB into other currencies. The value of the RMB is subject to changes in central government policies and to international economic and political developments affecting supply and demand in the China Foreign Exchange Trading System market. The Group’s cash and cash equivalents denominated in RMB in PRC domestic companies amounted to US$31,423,866, US$20,759,453 and US$20,830,209 as of December 31, 2023, 2024 and 2025,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22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Group computes net income or loss per Class A and Class B ordinary share in accordance with </w:t>
      </w:r>
      <w:r>
        <w:rPr>
          <w:rFonts w:ascii="Times New Roman" w:cs="Times New Roman" w:eastAsia="Times New Roman" w:hAnsi="Times New Roman"/>
          <w:sz w:val="18"/>
          <w:szCs w:val="18"/>
          <w:i w:val="1"/>
          <w:iCs w:val="1"/>
          <w:color w:val="auto"/>
        </w:rPr>
        <w:t>ASC 260-10</w:t>
      </w:r>
      <w:r>
        <w:rPr>
          <w:rFonts w:ascii="Times New Roman" w:cs="Times New Roman" w:eastAsia="Times New Roman" w:hAnsi="Times New Roman"/>
          <w:sz w:val="18"/>
          <w:szCs w:val="18"/>
          <w:color w:val="auto"/>
        </w:rPr>
        <w:t xml:space="preserve"> Earnings Per Share: Overall, using the two-class method. Under the two-class method, net income is allocated between ordinary shares and other participating securities based on their participating rights. Net losses are not allocated to other participating securities if based on their contractual terms they are not obligated to share in the losses.</w:t>
      </w:r>
    </w:p>
    <w:p>
      <w:pPr>
        <w:spacing w:after="0" w:line="18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liquidation and dividend rights of the holders of the Company’s Class A and Class B ordinary shares are identical, except with respect to voting. As the liquidation and dividend rights are identical, the net incomes are allocated on a proportionate basis.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Basic net income or loss per share is computed by dividing net income or loss attributable to ordinary shareholders by the weighted average number of ordinary shares and contingently issuable shares outstanding during the period except that it does not include unvested restricted shares or repurchased ordinary shares subject to cancellation.</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Diluted net income or loss per share is calculated by dividing net income or loss attributable to ordinary shareholders, as adjusted for the effect of dilutive potential ordinary shares, if any, by the weighted average number of ordinary shares outstanding and dilutive potential ordinary shares during the period. Potential ordinary shares are excluded in the denominator of the diluted net income or loss per share calculation if their effects would be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Group’s exposure to credit risk associated with its trading and other activities is measured on an individual counterparty basis, as well as by groups of counterparties that share similar attributes. Concentrations of credit risk can be affected by changes in political, industry, or economic factors. To reduce the potential for risk concentration, credit limits are established and exposure is monitored in light of changing counterparty and market conditions. As of December 31, 2024 and 2025, the Group did not have any material concentrations of credit risk outside the ordinary course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revenue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is no customer accounting for 10% or more of total revenues for the years ended December 31, 2023, 2024 and 2025,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supplier</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Group relies on third parties for the execution and clearing of trade requests made by customers. In instances where these parties fail to perform their obligations, the Group may be temporarily unable to find alternative suppliers to satisfactorily deliver services to its customers in a timely manner, if at all.</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years ended December 31, 2023, 2024 and 2025, 16.6%, 10.6% and 6.6% of its total net revenues were executed and cleared by 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Expected Credit Losses</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Group adopted FASB ASC Topic 326 – Financial Instruments – Credit Losses (“ASC Topic 326”) since January 1, 2020. The Group’s in-scope assets are primarily subject to collateral maintenance provisions, such as margin loans extended to consolidated accounts customers by the Group for which the Company elected to apply the practical expedient of reporting the difference between the fair value of collateral and the amortized cost for the in-scope assets as the allowance for current expected credit losses (“CECL”). The Group applied a PD/LGD method to determine the allowance for the New Zealand housing loans. The PD/LGD method was based on probability of default, loss given default (i.e. the magnitude of the loss if there is a default) and the exposure at default. The assessment of the probability of default and loss given default is based on historical data and forward-looking credit parameters.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amendments in this ASU are intended to improve financial reporting by requiring that public business entities disclose additional information about specific expense categories in the notes to financial statements at interim and annual reporting periods. The guidance is effective for annual reporting periods beginning after December 15, 2026, and interim reporting periods beginning after December 15, 2027. Early adoption is permitted. The Group is currently assessing the impact to its consolidated financial statements.</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2024-04, Debt–Debt with Conversion and Other Options (Subtopic 470-20): Induced Conversion of Convertible Debt Instruments, which clarifies the requirements for determining whether certain settlements of convertible debt instruments should be accounted for as an induced conversion. ASU 2024-04 is effective for annual reporting periods beginning after December 15, 2025, and interim reporting periods within those annual reporting periods. Early adoption is permitted for all entities that have adopted the amendments in Update 2020-06. The Group is in the process of evaluation the impact of adopting this new guidance on its consolidated financial statements.</w:t>
      </w:r>
    </w:p>
    <w:p>
      <w:pPr>
        <w:spacing w:after="0" w:line="18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The amendments in this ASU are intended to address challenges encountered when applying the guidance in Topic 326, Financial Instruments—Credit Losses, to current accounts receivable and current contract assets arising from transactions accounted for under Topic 606, Revenue from Contracts with Customers. The guidance is effective for annual reporting periods beginning after December 15, 2025, and interim reporting periods within those annual reporting periods. Early adoption is permitted. The Group is currently assessing the impact to its consolidated financial statements.</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November 2025, the FASB issued ASU 2025-08, Financial Instruments—Credit Losses (Topic 326): Purchased Loans. The amendments in this ASU are intended to improve the decision usefulness of the financial reporting for acquired financial assets by requiring that purchased seasoned loans be accounted for using the gross-up approach. The guidance is effective for annual reporting periods beginning after December 15, 2026 and interim reporting periods within those annual reporting periods. Early adoption is permitted. The Group is currently assessing the impact to its consolidated financial statements.</w:t>
      </w:r>
    </w:p>
    <w:p>
      <w:pPr>
        <w:spacing w:after="0" w:line="183"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No. 2025-10, Government Grants (Topic 832). ASU No. 2025-10 establishes guidance on the recognition, measurement, and presentation of government grants received by business entities. The guidance is effective for annual reporting periods beginning after December 15, 2028, and interim reporting periods within those annual reporting periods. Early adoption is permitted. The Group is currently assessing the impact to its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7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currents assets (net of allowance) consisted of the following:</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42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7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760" w:type="dxa"/>
            <w:vAlign w:val="bottom"/>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Wealth management service fees receivables</w:t>
            </w:r>
          </w:p>
        </w:tc>
        <w:tc>
          <w:tcPr>
            <w:tcW w:w="17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2,666,704</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15,078,219</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Advances to employees</w:t>
            </w:r>
          </w:p>
        </w:tc>
        <w:tc>
          <w:tcPr>
            <w:tcW w:w="17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2,392,161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4,827,774</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IPO distribution service and promotional and advertisement service receivables</w:t>
            </w:r>
          </w:p>
        </w:tc>
        <w:tc>
          <w:tcPr>
            <w:tcW w:w="17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5,197,266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3,436,373</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data and IT service expenses</w:t>
            </w:r>
          </w:p>
        </w:tc>
        <w:tc>
          <w:tcPr>
            <w:tcW w:w="17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2,051,802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2,272,494</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 and other deposits</w:t>
            </w:r>
          </w:p>
        </w:tc>
        <w:tc>
          <w:tcPr>
            <w:tcW w:w="17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693,558</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1,167,045</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professional service fees</w:t>
            </w:r>
          </w:p>
        </w:tc>
        <w:tc>
          <w:tcPr>
            <w:tcW w:w="17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822,870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1,160,039</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marketing expenses</w:t>
            </w:r>
          </w:p>
        </w:tc>
        <w:tc>
          <w:tcPr>
            <w:tcW w:w="17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703,045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870,675</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income tax</w:t>
            </w:r>
          </w:p>
        </w:tc>
        <w:tc>
          <w:tcPr>
            <w:tcW w:w="17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1,084,146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685,503</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Input VAT receivables</w:t>
            </w:r>
          </w:p>
        </w:tc>
        <w:tc>
          <w:tcPr>
            <w:tcW w:w="17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137,066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389,683</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receivables from term deposits</w:t>
            </w:r>
          </w:p>
        </w:tc>
        <w:tc>
          <w:tcPr>
            <w:tcW w:w="17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732,696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318,744</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w:t>
            </w:r>
          </w:p>
        </w:tc>
        <w:tc>
          <w:tcPr>
            <w:tcW w:w="17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1,148,505</w:t>
            </w:r>
          </w:p>
        </w:tc>
        <w:tc>
          <w:tcPr>
            <w:tcW w:w="1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3,750,434</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0" w:type="dxa"/>
            <w:vAlign w:val="bottom"/>
          </w:tcPr>
          <w:p>
            <w:pPr>
              <w:spacing w:after="0"/>
              <w:rPr>
                <w:sz w:val="18"/>
                <w:szCs w:val="18"/>
                <w:color w:val="auto"/>
              </w:rPr>
            </w:pPr>
          </w:p>
        </w:tc>
        <w:tc>
          <w:tcPr>
            <w:tcW w:w="17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17,629,819</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33,956,983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0" w:type="dxa"/>
            <w:vAlign w:val="bottom"/>
            <w:vMerge w:val="restart"/>
          </w:tcPr>
          <w:p>
            <w:pPr>
              <w:ind w:left="5020"/>
              <w:spacing w:after="0"/>
              <w:rPr>
                <w:sz w:val="20"/>
                <w:szCs w:val="20"/>
                <w:color w:val="auto"/>
              </w:rPr>
            </w:pPr>
            <w:r>
              <w:rPr>
                <w:rFonts w:ascii="Times New Roman" w:cs="Times New Roman" w:eastAsia="Times New Roman" w:hAnsi="Times New Roman"/>
                <w:sz w:val="18"/>
                <w:szCs w:val="18"/>
                <w:color w:val="auto"/>
              </w:rPr>
              <w:t>F-28</w:t>
            </w: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0" w:type="dxa"/>
            <w:vAlign w:val="bottom"/>
          </w:tcPr>
          <w:p>
            <w:pPr>
              <w:spacing w:after="0"/>
              <w:rPr>
                <w:sz w:val="24"/>
                <w:szCs w:val="24"/>
                <w:color w:val="auto"/>
              </w:rPr>
            </w:pPr>
          </w:p>
        </w:tc>
        <w:tc>
          <w:tcPr>
            <w:tcW w:w="720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-1079500</wp:posOffset>
            </wp:positionV>
            <wp:extent cx="8572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760" w:right="5160" w:hanging="752"/>
        <w:spacing w:after="0" w:line="464" w:lineRule="auto"/>
        <w:tabs>
          <w:tab w:leader="none" w:pos="446"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PROPERTY, EQUIPMENT AND INTANGIBLE ASSETS, NET </w:t>
      </w:r>
      <w:r>
        <w:rPr>
          <w:rFonts w:ascii="Times New Roman" w:cs="Times New Roman" w:eastAsia="Times New Roman" w:hAnsi="Times New Roman"/>
          <w:sz w:val="17"/>
          <w:szCs w:val="17"/>
          <w:color w:val="auto"/>
        </w:rPr>
        <w:t>Property, equipment and intangible assets, net, consisted of the following:</w:t>
      </w: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25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640" w:type="dxa"/>
            <w:vAlign w:val="bottom"/>
          </w:tcPr>
          <w:p>
            <w:pPr>
              <w:spacing w:after="0"/>
              <w:rPr>
                <w:sz w:val="18"/>
                <w:szCs w:val="18"/>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8"/>
                <w:szCs w:val="18"/>
                <w:color w:val="auto"/>
              </w:rPr>
            </w:pPr>
          </w:p>
        </w:tc>
      </w:tr>
      <w:tr>
        <w:trPr>
          <w:trHeight w:val="209"/>
        </w:trPr>
        <w:tc>
          <w:tcPr>
            <w:tcW w:w="7640" w:type="dxa"/>
            <w:vAlign w:val="bottom"/>
          </w:tcPr>
          <w:p>
            <w:pPr>
              <w:spacing w:after="0"/>
              <w:rPr>
                <w:sz w:val="18"/>
                <w:szCs w:val="18"/>
                <w:color w:val="auto"/>
              </w:rPr>
            </w:pPr>
          </w:p>
        </w:tc>
        <w:tc>
          <w:tcPr>
            <w:tcW w:w="16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9,381,922</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12,616,774</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858,548</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958,101</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1,194,817</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1,593,608</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1,721,485</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1,789,908</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(8,976,373)</w:t>
            </w: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(11,195,376)</w:t>
            </w:r>
          </w:p>
        </w:tc>
      </w:tr>
      <w:tr>
        <w:trPr>
          <w:trHeight w:val="210"/>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4,180,399</w:t>
            </w:r>
          </w:p>
        </w:tc>
        <w:tc>
          <w:tcPr>
            <w:tcW w:w="240" w:type="dxa"/>
            <w:vAlign w:val="bottom"/>
            <w:tcBorders>
              <w:top w:val="single" w:sz="8" w:color="CFF0FC"/>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5,763,015</w:t>
            </w:r>
          </w:p>
        </w:tc>
        <w:tc>
          <w:tcPr>
            <w:tcW w:w="100" w:type="dxa"/>
            <w:vAlign w:val="bottom"/>
            <w:tcBorders>
              <w:top w:val="single" w:sz="8" w:color="CFF0FC"/>
            </w:tcBorders>
          </w:tcPr>
          <w:p>
            <w:pPr>
              <w:spacing w:after="0"/>
              <w:rPr>
                <w:sz w:val="18"/>
                <w:szCs w:val="18"/>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10,004,563</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8,457,801</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111,995</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116,899</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Trading right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128,259</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127,961</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1,016,091</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(82,779)</w:t>
            </w: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(101,651)</w:t>
            </w:r>
          </w:p>
        </w:tc>
      </w:tr>
      <w:tr>
        <w:trPr>
          <w:trHeight w:val="209"/>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11,178,129</w:t>
            </w:r>
          </w:p>
        </w:tc>
        <w:tc>
          <w:tcPr>
            <w:tcW w:w="240" w:type="dxa"/>
            <w:vAlign w:val="bottom"/>
            <w:tcBorders>
              <w:top w:val="single" w:sz="8" w:color="CFF0FC"/>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8,601,010</w:t>
            </w:r>
          </w:p>
        </w:tc>
        <w:tc>
          <w:tcPr>
            <w:tcW w:w="100" w:type="dxa"/>
            <w:vAlign w:val="bottom"/>
            <w:tcBorders>
              <w:top w:val="single" w:sz="8" w:color="CFF0FC"/>
            </w:tcBorders>
          </w:tcPr>
          <w:p>
            <w:pPr>
              <w:spacing w:after="0"/>
              <w:rPr>
                <w:sz w:val="18"/>
                <w:szCs w:val="18"/>
                <w:color w:val="auto"/>
              </w:rPr>
            </w:pPr>
          </w:p>
        </w:tc>
      </w:tr>
      <w:tr>
        <w:trPr>
          <w:trHeight w:val="249"/>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15,358,528</w:t>
            </w:r>
          </w:p>
        </w:tc>
        <w:tc>
          <w:tcPr>
            <w:tcW w:w="2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14,364,025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-1156970</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Depreciation expenses for the years ended December 31, 2023, 2024 and 2025 were US$2,823,534, US$2,609,682 and US$2,879,468, respectively.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Amortization expenses for the years ended December 31, 2023, 2024 and 2025 were US$15,018, US$14,608 and US$15,248,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The estimated amortization expenses for the above intangible assets for future years are as follows:</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98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820" w:type="dxa"/>
            <w:vAlign w:val="bottom"/>
            <w:shd w:val="clear" w:color="auto" w:fill="CFF0FC"/>
          </w:tcPr>
          <w:p>
            <w:pPr>
              <w:spacing w:after="0"/>
              <w:rPr>
                <w:sz w:val="18"/>
                <w:szCs w:val="18"/>
                <w:color w:val="auto"/>
              </w:rPr>
            </w:pPr>
          </w:p>
        </w:tc>
        <w:tc>
          <w:tcPr>
            <w:tcW w:w="2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15,248</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20" w:type="dxa"/>
            <w:vAlign w:val="bottom"/>
          </w:tcPr>
          <w:p>
            <w:pPr>
              <w:spacing w:after="0"/>
              <w:rPr>
                <w:sz w:val="19"/>
                <w:szCs w:val="19"/>
                <w:color w:val="auto"/>
              </w:rPr>
            </w:pPr>
          </w:p>
        </w:tc>
        <w:tc>
          <w:tcPr>
            <w:tcW w:w="2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820" w:type="dxa"/>
            <w:vAlign w:val="bottom"/>
            <w:shd w:val="clear" w:color="auto" w:fill="CFF0FC"/>
          </w:tcPr>
          <w:p>
            <w:pPr>
              <w:spacing w:after="0"/>
              <w:rPr>
                <w:sz w:val="18"/>
                <w:szCs w:val="18"/>
                <w:color w:val="auto"/>
              </w:rPr>
            </w:pPr>
          </w:p>
        </w:tc>
        <w:tc>
          <w:tcPr>
            <w:tcW w:w="2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820" w:type="dxa"/>
            <w:vAlign w:val="bottom"/>
          </w:tcPr>
          <w:p>
            <w:pPr>
              <w:spacing w:after="0"/>
              <w:rPr>
                <w:sz w:val="19"/>
                <w:szCs w:val="19"/>
                <w:color w:val="auto"/>
              </w:rPr>
            </w:pPr>
          </w:p>
        </w:tc>
        <w:tc>
          <w:tcPr>
            <w:tcW w:w="2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820" w:type="dxa"/>
            <w:vAlign w:val="bottom"/>
            <w:tcBorders>
              <w:bottom w:val="single" w:sz="8" w:color="auto"/>
            </w:tcBorders>
            <w:shd w:val="clear" w:color="auto" w:fill="CFF0FC"/>
          </w:tcPr>
          <w:p>
            <w:pPr>
              <w:spacing w:after="0"/>
              <w:rPr>
                <w:sz w:val="18"/>
                <w:szCs w:val="18"/>
                <w:color w:val="auto"/>
              </w:rPr>
            </w:pPr>
          </w:p>
        </w:tc>
        <w:tc>
          <w:tcPr>
            <w:tcW w:w="2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15,248</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440" w:hanging="432"/>
        <w:spacing w:after="0"/>
        <w:tabs>
          <w:tab w:leader="none" w:pos="4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was no changes in the carrying amount of goodwill for the years ended December 31, 2024 and 2025.</w:t>
      </w:r>
    </w:p>
    <w:p>
      <w:pPr>
        <w:spacing w:after="0" w:line="113"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112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160" w:type="dxa"/>
            <w:vAlign w:val="bottom"/>
          </w:tcPr>
          <w:p>
            <w:pPr>
              <w:spacing w:after="0"/>
              <w:rPr>
                <w:sz w:val="18"/>
                <w:szCs w:val="18"/>
                <w:color w:val="auto"/>
              </w:rPr>
            </w:pPr>
          </w:p>
        </w:tc>
        <w:tc>
          <w:tcPr>
            <w:tcW w:w="11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US$</w:t>
            </w: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8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beginning of year</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2,492,668</w:t>
            </w:r>
          </w:p>
        </w:tc>
        <w:tc>
          <w:tcPr>
            <w:tcW w:w="21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2,492,668</w:t>
            </w: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year</w:t>
            </w:r>
          </w:p>
        </w:tc>
        <w:tc>
          <w:tcPr>
            <w:tcW w:w="1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2,492,668</w:t>
            </w:r>
          </w:p>
        </w:tc>
        <w:tc>
          <w:tcPr>
            <w:tcW w:w="140" w:type="dxa"/>
            <w:vAlign w:val="bottom"/>
          </w:tcPr>
          <w:p>
            <w:pPr>
              <w:spacing w:after="0"/>
              <w:rPr>
                <w:sz w:val="18"/>
                <w:szCs w:val="18"/>
                <w:color w:val="auto"/>
              </w:rPr>
            </w:pPr>
          </w:p>
        </w:tc>
        <w:tc>
          <w:tcPr>
            <w:tcW w:w="1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2,492,668</w:t>
            </w:r>
          </w:p>
        </w:tc>
      </w:tr>
      <w:tr>
        <w:trPr>
          <w:trHeight w:val="20"/>
        </w:trPr>
        <w:tc>
          <w:tcPr>
            <w:tcW w:w="7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2024 and 2025, there had not been any accumulated goodwill impairment provided.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45" w:lineRule="exact"/>
        <w:rPr>
          <w:sz w:val="20"/>
          <w:szCs w:val="20"/>
          <w:color w:val="auto"/>
        </w:rPr>
      </w:pPr>
    </w:p>
    <w:p>
      <w:pPr>
        <w:ind w:left="440" w:hanging="432"/>
        <w:spacing w:after="0" w:line="207" w:lineRule="exact"/>
        <w:tabs>
          <w:tab w:leader="none" w:pos="4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 INVESTMENTS AND EQUITY METHOD INVESTMENT</w:t>
      </w:r>
    </w:p>
    <w:p>
      <w:pPr>
        <w:spacing w:after="0" w:line="26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securities without readily determinable fair value</w:t>
      </w:r>
    </w:p>
    <w:p>
      <w:pPr>
        <w:spacing w:after="0" w:line="22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had the following equity securities without readily determinable fair value: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46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34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34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8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166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77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Fortune Rise Acquisition Corporation (“FRLAU”) </w:t>
            </w:r>
            <w:r>
              <w:rPr>
                <w:rFonts w:ascii="Times New Roman" w:cs="Times New Roman" w:eastAsia="Times New Roman" w:hAnsi="Times New Roman"/>
                <w:sz w:val="24"/>
                <w:szCs w:val="24"/>
                <w:color w:val="auto"/>
                <w:vertAlign w:val="superscript"/>
              </w:rPr>
              <w:t>(a)</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200,237</w:t>
            </w: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Shenzhen Guru Club Information Technology Group Co., LTD. (“Guru”) </w:t>
            </w:r>
            <w:r>
              <w:rPr>
                <w:rFonts w:ascii="Times New Roman" w:cs="Times New Roman" w:eastAsia="Times New Roman" w:hAnsi="Times New Roman"/>
                <w:sz w:val="24"/>
                <w:szCs w:val="24"/>
                <w:color w:val="auto"/>
                <w:vertAlign w:val="superscript"/>
              </w:rPr>
              <w:t>(b)</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1,369,994</w:t>
            </w:r>
          </w:p>
        </w:tc>
        <w:tc>
          <w:tcPr>
            <w:tcW w:w="1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1,447,876</w:t>
            </w:r>
          </w:p>
        </w:tc>
      </w:tr>
      <w:tr>
        <w:trPr>
          <w:trHeight w:val="216"/>
        </w:trPr>
        <w:tc>
          <w:tcPr>
            <w:tcW w:w="77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Shanghai Realize Investment Consulting Co., Ltd. (“Realize”) </w:t>
            </w:r>
            <w:r>
              <w:rPr>
                <w:rFonts w:ascii="Times New Roman" w:cs="Times New Roman" w:eastAsia="Times New Roman" w:hAnsi="Times New Roman"/>
                <w:sz w:val="24"/>
                <w:szCs w:val="24"/>
                <w:color w:val="auto"/>
                <w:vertAlign w:val="superscript"/>
              </w:rPr>
              <w:t>(c)</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821,997</w:t>
            </w:r>
          </w:p>
        </w:tc>
        <w:tc>
          <w:tcPr>
            <w:tcW w:w="1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868,725</w:t>
            </w:r>
          </w:p>
        </w:tc>
      </w:tr>
      <w:tr>
        <w:trPr>
          <w:trHeight w:val="216"/>
        </w:trPr>
        <w:tc>
          <w:tcPr>
            <w:tcW w:w="77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Shanghai Yisong Consulting Management Co., LTD (“Yisong”) </w:t>
            </w:r>
            <w:r>
              <w:rPr>
                <w:rFonts w:ascii="Times New Roman" w:cs="Times New Roman" w:eastAsia="Times New Roman" w:hAnsi="Times New Roman"/>
                <w:sz w:val="24"/>
                <w:szCs w:val="24"/>
                <w:color w:val="auto"/>
                <w:vertAlign w:val="superscript"/>
              </w:rPr>
              <w:t>(d)</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356,199</w:t>
            </w:r>
          </w:p>
        </w:tc>
        <w:tc>
          <w:tcPr>
            <w:tcW w:w="1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376,448</w:t>
            </w:r>
          </w:p>
        </w:tc>
      </w:tr>
      <w:tr>
        <w:trPr>
          <w:trHeight w:val="216"/>
        </w:trPr>
        <w:tc>
          <w:tcPr>
            <w:tcW w:w="778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Mainnet Group Holdings (“Mainnet”) </w:t>
            </w:r>
            <w:r>
              <w:rPr>
                <w:rFonts w:ascii="Times New Roman" w:cs="Times New Roman" w:eastAsia="Times New Roman" w:hAnsi="Times New Roman"/>
                <w:sz w:val="24"/>
                <w:szCs w:val="24"/>
                <w:color w:val="auto"/>
                <w:vertAlign w:val="superscript"/>
              </w:rPr>
              <w:t>(e)</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500,000</w:t>
            </w:r>
          </w:p>
        </w:tc>
      </w:tr>
      <w:tr>
        <w:trPr>
          <w:trHeight w:val="209"/>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3,248,427</w:t>
            </w:r>
          </w:p>
        </w:tc>
        <w:tc>
          <w:tcPr>
            <w:tcW w:w="1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3,193,049</w:t>
            </w:r>
          </w:p>
        </w:tc>
      </w:tr>
      <w:tr>
        <w:trPr>
          <w:trHeight w:val="20"/>
        </w:trPr>
        <w:tc>
          <w:tcPr>
            <w:tcW w:w="34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440" w:type="dxa"/>
            <w:vAlign w:val="bottom"/>
            <w:tcBorders>
              <w:bottom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-325120</wp:posOffset>
            </wp:positionV>
            <wp:extent cx="7747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left="1020" w:hanging="503"/>
        <w:spacing w:after="0" w:line="254"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FRLAU is a NASDAQ listed blank check company formed for the purpose of effecting a merger, capital stock exchange, asset acquisition, stock purchase, reorganization or similar business combination with one or more businesses. In November 2021, the Group acquired 122,000 founder shares, 20,000 private shares and 60,000 representative shares issued by FRLAU for a total purchase consideration of US$201,248. After the sale of 98,800 founder shares in December 2022, the Group held 0.8% equity interests of FRLAU with no significant impacts. The founder shares, private shares and representative shares are each subject to transfer restrictions pursuant to lock-up provisions. FRLAU failed to complete a business combination and ceased all operations except for the purpose of winding up and it was terminated from listing upon March 13, 2025. The Group has made full provision of US$200,237 for the impairment of this investment accordingly for the years ended December 31, 2025.</w:t>
      </w:r>
    </w:p>
    <w:p>
      <w:pPr>
        <w:spacing w:after="0" w:line="19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2017, the Group acquired 1.0% equity interests of Guru with no significant impacts, formerly known as Tibet Gelonghui Information Technology Co., LTD., for a purchase consideration of US$1,536,972 (RMB10,000,000). Guru is principally engaged in information technology development, technical consultation and technical services. No observable price change has been identified and no fair value change was recorded for the years ended December 31, 2024 and 2025. The change of balance was foreign exchange difference.</w:t>
      </w:r>
    </w:p>
    <w:p>
      <w:pPr>
        <w:spacing w:after="0" w:line="179"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2021, the Group acquired 1.5% equity interests of Realize for a purchase consideration of US$926,183 (RMB6,000,000). Realize is principally engaged in ESOP advisory and management services. No observable price change has been identified and no fair value change was recorded for the years ended December 31, 2024 and 2025. The change of balance was foreign exchange difference.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2021, the Group acquired 5% equity interests of Yisong for a purchase consideration of US$400,962 (RMB2,600,000). Yisong is principally engaged in consulting and financial advisory services. No observable price change has been identified and no fair value change was recorded for the years ended December 31, 2024 and 2025. The change of balance was foreign exchange difference.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2023, the Group acquired 2.0% equity interests of Mainnet for a purchase consideration of US$500,000. Mainnet has formed multiple lines of businesses including wealth management, fund management, a global open platform, and FinTech arm, providing high-net-worth customers with all-rounded financial services. No observable price change has been identified and no fair value change was recorded for the years ended December 31, 2024 and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45" w:lineRule="exact"/>
        <w:rPr>
          <w:sz w:val="20"/>
          <w:szCs w:val="20"/>
          <w:color w:val="auto"/>
        </w:rPr>
      </w:pPr>
    </w:p>
    <w:p>
      <w:pPr>
        <w:ind w:right="4020" w:firstLine="8"/>
        <w:spacing w:after="0" w:line="368" w:lineRule="exact"/>
        <w:tabs>
          <w:tab w:leader="none" w:pos="435"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TERM INVESTMENTS AND EQUITY METHOD INVESTMENT (Continued) </w:t>
      </w:r>
      <w:r>
        <w:rPr>
          <w:rFonts w:ascii="Times New Roman" w:cs="Times New Roman" w:eastAsia="Times New Roman" w:hAnsi="Times New Roman"/>
          <w:sz w:val="18"/>
          <w:szCs w:val="18"/>
          <w:b w:val="1"/>
          <w:bCs w:val="1"/>
          <w:u w:val="single" w:color="auto"/>
          <w:color w:val="auto"/>
        </w:rPr>
        <w:t>Available</w:t>
      </w:r>
      <w:r>
        <w:rPr>
          <w:rFonts w:ascii="MS PGothic" w:cs="MS PGothic" w:eastAsia="MS PGothic" w:hAnsi="MS PGothic"/>
          <w:sz w:val="18"/>
          <w:szCs w:val="18"/>
          <w:u w:val="single" w:color="auto"/>
          <w:color w:val="auto"/>
          <w:strike w:val="1"/>
        </w:rPr>
        <w:t>‑</w:t>
      </w:r>
      <w:r>
        <w:rPr>
          <w:rFonts w:ascii="Times New Roman" w:cs="Times New Roman" w:eastAsia="Times New Roman" w:hAnsi="Times New Roman"/>
          <w:sz w:val="18"/>
          <w:szCs w:val="18"/>
          <w:b w:val="1"/>
          <w:bCs w:val="1"/>
          <w:u w:val="single" w:color="auto"/>
          <w:color w:val="auto"/>
        </w:rPr>
        <w:t>for</w:t>
      </w:r>
      <w:r>
        <w:rPr>
          <w:rFonts w:ascii="MS PGothic" w:cs="MS PGothic" w:eastAsia="MS PGothic" w:hAnsi="MS PGothic"/>
          <w:sz w:val="18"/>
          <w:szCs w:val="18"/>
          <w:u w:val="single" w:color="auto"/>
          <w:color w:val="auto"/>
          <w:strike w:val="1"/>
        </w:rPr>
        <w:t>‑</w:t>
      </w:r>
      <w:r>
        <w:rPr>
          <w:rFonts w:ascii="Times New Roman" w:cs="Times New Roman" w:eastAsia="Times New Roman" w:hAnsi="Times New Roman"/>
          <w:sz w:val="18"/>
          <w:szCs w:val="18"/>
          <w:b w:val="1"/>
          <w:bCs w:val="1"/>
          <w:u w:val="single" w:color="auto"/>
          <w:color w:val="auto"/>
        </w:rPr>
        <w:t>sale securities</w:t>
      </w:r>
    </w:p>
    <w:p>
      <w:pPr>
        <w:spacing w:after="0" w:line="129" w:lineRule="exact"/>
        <w:rPr>
          <w:rFonts w:ascii="Times New Roman" w:cs="Times New Roman" w:eastAsia="Times New Roman" w:hAnsi="Times New Roman"/>
          <w:sz w:val="18"/>
          <w:szCs w:val="18"/>
          <w:b w:val="1"/>
          <w:bCs w:val="1"/>
          <w:color w:val="auto"/>
        </w:rPr>
      </w:pPr>
    </w:p>
    <w:p>
      <w:pPr>
        <w:ind w:left="760"/>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had the following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w:t>
      </w:r>
    </w:p>
    <w:p>
      <w:pPr>
        <w:spacing w:after="0" w:line="154"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19685</wp:posOffset>
            </wp:positionV>
            <wp:extent cx="219456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1" w:lineRule="exact"/>
        <w:rPr>
          <w:sz w:val="20"/>
          <w:szCs w:val="20"/>
          <w:color w:val="auto"/>
        </w:rPr>
      </w:pPr>
    </w:p>
    <w:p>
      <w:pPr>
        <w:ind w:left="8380"/>
        <w:spacing w:after="0"/>
        <w:tabs>
          <w:tab w:leader="none" w:pos="1016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14605</wp:posOffset>
            </wp:positionV>
            <wp:extent cx="219456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ind w:left="8400"/>
        <w:spacing w:after="0"/>
        <w:tabs>
          <w:tab w:leader="none" w:pos="10180" w:val="left"/>
        </w:tabs>
        <w:rPr>
          <w:sz w:val="20"/>
          <w:szCs w:val="20"/>
          <w:color w:val="auto"/>
        </w:rPr>
      </w:pPr>
      <w:r>
        <w:rPr>
          <w:rFonts w:ascii="Times New Roman" w:cs="Times New Roman" w:eastAsia="Times New Roman" w:hAnsi="Times New Roman"/>
          <w:sz w:val="18"/>
          <w:szCs w:val="18"/>
          <w:b w:val="1"/>
          <w:bCs w:val="1"/>
          <w:color w:val="auto"/>
        </w:rPr>
        <w:t>US$</w:t>
      </w:r>
      <w:r>
        <w:rPr>
          <w:sz w:val="20"/>
          <w:szCs w:val="20"/>
          <w:color w:val="auto"/>
        </w:rPr>
        <w:tab/>
      </w:r>
      <w:r>
        <w:rPr>
          <w:rFonts w:ascii="Times New Roman" w:cs="Times New Roman" w:eastAsia="Times New Roman" w:hAnsi="Times New Roman"/>
          <w:sz w:val="17"/>
          <w:szCs w:val="17"/>
          <w:b w:val="1"/>
          <w:bCs w:val="1"/>
          <w:color w:val="auto"/>
        </w:rPr>
        <w:t>US$</w:t>
      </w:r>
    </w:p>
    <w:tbl>
      <w:tblPr>
        <w:tblLayout w:type="fixed"/>
        <w:tblInd w:w="0" w:type="dxa"/>
        <w:tblCellMar>
          <w:top w:w="0" w:type="dxa"/>
          <w:left w:w="0" w:type="dxa"/>
          <w:bottom w:w="0" w:type="dxa"/>
          <w:right w:w="0" w:type="dxa"/>
        </w:tblCellMar>
      </w:tblPr>
      <w:tr>
        <w:trPr>
          <w:trHeight w:val="26"/>
        </w:trPr>
        <w:tc>
          <w:tcPr>
            <w:tcW w:w="34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6"/>
        </w:trPr>
        <w:tc>
          <w:tcPr>
            <w:tcW w:w="778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Alphalion Technology Holding Limited (“Alphalion”) </w:t>
            </w:r>
            <w:r>
              <w:rPr>
                <w:rFonts w:ascii="Times New Roman" w:cs="Times New Roman" w:eastAsia="Times New Roman" w:hAnsi="Times New Roman"/>
                <w:sz w:val="24"/>
                <w:szCs w:val="24"/>
                <w:color w:val="auto"/>
                <w:vertAlign w:val="superscript"/>
              </w:rPr>
              <w:t>(f)</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4,410,382</w:t>
            </w:r>
          </w:p>
        </w:tc>
        <w:tc>
          <w:tcPr>
            <w:tcW w:w="1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6,617,773</w:t>
            </w:r>
          </w:p>
        </w:tc>
      </w:tr>
      <w:tr>
        <w:trPr>
          <w:trHeight w:val="209"/>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4,410,382</w:t>
            </w:r>
          </w:p>
        </w:tc>
        <w:tc>
          <w:tcPr>
            <w:tcW w:w="1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6,617,773</w:t>
            </w:r>
          </w:p>
        </w:tc>
      </w:tr>
      <w:tr>
        <w:trPr>
          <w:trHeight w:val="20"/>
        </w:trPr>
        <w:tc>
          <w:tcPr>
            <w:tcW w:w="34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440" w:type="dxa"/>
            <w:vAlign w:val="bottom"/>
            <w:tcBorders>
              <w:bottom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-325120</wp:posOffset>
            </wp:positionV>
            <wp:extent cx="8572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both"/>
        <w:ind w:left="1020" w:hanging="503"/>
        <w:spacing w:after="0" w:line="254"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2019, the Group entered into a series of agreements to covert its short-term interest-free loans to Alphalion Technology Holding Limited and its affiliates which amounted to US$3,060,113 into a 25% equity interest of Alphalion (Note 16). Alphalion is principally engaged in IT services, including software maintenance, application service and data processing. The investment was classified as available-for-sale securities with no contractual maturity date as the Group determined that the preferred shares were debt securities due to the redemption option available to investors and measured the investment subsequently at fair value. In July 2021, Alphalion completed a Series A funding, and after such funding the Group held 16.09% equity interests. US$450,325 loss, US343,892 gain, and US$2,207,391 gain of fair value were recorded for the years ended December 31, 2023, 2024 and 2025, respectively. Nil allowance for credit losses was recorded for the years ended December 31, 2023, 2024 and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Equity method investment</w:t>
            </w:r>
          </w:p>
        </w:tc>
        <w:tc>
          <w:tcPr>
            <w:tcW w:w="5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76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The Group had the following equity method investment:</w:t>
            </w: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20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5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20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8"/>
                <w:szCs w:val="18"/>
                <w:color w:val="auto"/>
              </w:rPr>
            </w:pPr>
          </w:p>
        </w:tc>
      </w:tr>
      <w:tr>
        <w:trPr>
          <w:trHeight w:val="210"/>
        </w:trPr>
        <w:tc>
          <w:tcPr>
            <w:tcW w:w="20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764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TIGER-YUANTA USD LIQUIDITY FUND (“Yuanta”) </w:t>
            </w:r>
            <w:r>
              <w:rPr>
                <w:rFonts w:ascii="Times New Roman" w:cs="Times New Roman" w:eastAsia="Times New Roman" w:hAnsi="Times New Roman"/>
                <w:sz w:val="24"/>
                <w:szCs w:val="24"/>
                <w:color w:val="auto"/>
                <w:vertAlign w:val="superscript"/>
              </w:rPr>
              <w:t>(g)</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10,203,622</w:t>
            </w: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10,585,414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10,203,622</w:t>
            </w:r>
          </w:p>
        </w:tc>
        <w:tc>
          <w:tcPr>
            <w:tcW w:w="2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10,585,414</w:t>
            </w:r>
          </w:p>
        </w:tc>
        <w:tc>
          <w:tcPr>
            <w:tcW w:w="100" w:type="dxa"/>
            <w:vAlign w:val="bottom"/>
          </w:tcPr>
          <w:p>
            <w:pPr>
              <w:spacing w:after="0"/>
              <w:rPr>
                <w:sz w:val="18"/>
                <w:szCs w:val="18"/>
                <w:color w:val="auto"/>
              </w:rPr>
            </w:pPr>
          </w:p>
        </w:tc>
      </w:tr>
      <w:tr>
        <w:trPr>
          <w:trHeight w:val="20"/>
        </w:trPr>
        <w:tc>
          <w:tcPr>
            <w:tcW w:w="20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left="1020" w:hanging="503"/>
        <w:spacing w:after="0" w:line="261"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the Group acquired 17.1% equity interests of TIGER-YUANTA USD LIQUIDITY FUND for a purchase consideration of US$10,000,000. Yuanta is managed by a subsidiary of the Group and the investment objective of Yuanta is to provide liquidity and manage risk while looking to provide a return which is comparable to that of USD short-term deposits. The Group recorded an investment gain of US$203,622 and US$381,792 for the year ended December 31, 2024 and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80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44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44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3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8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welfare</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26,219,450</w:t>
            </w:r>
          </w:p>
        </w:tc>
        <w:tc>
          <w:tcPr>
            <w:tcW w:w="1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44,151,796</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and non-income-based taxes payables</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16,073,041</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27,574,193</w:t>
            </w:r>
          </w:p>
        </w:tc>
      </w:tr>
      <w:tr>
        <w:trPr>
          <w:trHeight w:val="216"/>
        </w:trPr>
        <w:tc>
          <w:tcPr>
            <w:tcW w:w="8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expenses</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4,772,321</w:t>
            </w:r>
          </w:p>
        </w:tc>
        <w:tc>
          <w:tcPr>
            <w:tcW w:w="1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6,561,299</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marketing expenses</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3,459,673</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8,720,625</w:t>
            </w:r>
          </w:p>
        </w:tc>
      </w:tr>
      <w:tr>
        <w:trPr>
          <w:trHeight w:val="216"/>
        </w:trPr>
        <w:tc>
          <w:tcPr>
            <w:tcW w:w="8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Advanced from customers</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4,952,208</w:t>
            </w:r>
          </w:p>
        </w:tc>
        <w:tc>
          <w:tcPr>
            <w:tcW w:w="1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6,946,595</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data and IT service expenses</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2,934,834</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3,074,882</w:t>
            </w:r>
          </w:p>
        </w:tc>
      </w:tr>
      <w:tr>
        <w:trPr>
          <w:trHeight w:val="216"/>
        </w:trPr>
        <w:tc>
          <w:tcPr>
            <w:tcW w:w="8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due to employees for sale of their shares exercised under the share incentive plan</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5,786,535</w:t>
            </w:r>
          </w:p>
        </w:tc>
        <w:tc>
          <w:tcPr>
            <w:tcW w:w="1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9,806,396</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3,065,192</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4,853,796</w:t>
            </w:r>
          </w:p>
        </w:tc>
      </w:tr>
      <w:tr>
        <w:trPr>
          <w:trHeight w:val="249"/>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67,263,254</w:t>
            </w:r>
          </w:p>
        </w:tc>
        <w:tc>
          <w:tcPr>
            <w:tcW w:w="1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111,689,582</w:t>
            </w:r>
          </w:p>
        </w:tc>
      </w:tr>
      <w:tr>
        <w:trPr>
          <w:trHeight w:val="629"/>
        </w:trPr>
        <w:tc>
          <w:tcPr>
            <w:tcW w:w="440" w:type="dxa"/>
            <w:vAlign w:val="bottom"/>
            <w:tcBorders>
              <w:top w:val="single" w:sz="8" w:color="CFF0FC"/>
            </w:tcBorders>
          </w:tcPr>
          <w:p>
            <w:pPr>
              <w:spacing w:after="0"/>
              <w:rPr>
                <w:sz w:val="24"/>
                <w:szCs w:val="24"/>
                <w:color w:val="auto"/>
              </w:rPr>
            </w:pPr>
          </w:p>
        </w:tc>
        <w:tc>
          <w:tcPr>
            <w:tcW w:w="8000" w:type="dxa"/>
            <w:vAlign w:val="bottom"/>
            <w:tcBorders>
              <w:top w:val="single" w:sz="8" w:color="CFF0FC"/>
            </w:tcBorders>
          </w:tcPr>
          <w:p>
            <w:pPr>
              <w:ind w:left="5020"/>
              <w:spacing w:after="0"/>
              <w:rPr>
                <w:sz w:val="20"/>
                <w:szCs w:val="20"/>
                <w:color w:val="auto"/>
              </w:rPr>
            </w:pPr>
            <w:r>
              <w:rPr>
                <w:rFonts w:ascii="Times New Roman" w:cs="Times New Roman" w:eastAsia="Times New Roman" w:hAnsi="Times New Roman"/>
                <w:sz w:val="18"/>
                <w:szCs w:val="18"/>
                <w:color w:val="auto"/>
              </w:rPr>
              <w:t>F-32</w:t>
            </w:r>
          </w:p>
        </w:tc>
        <w:tc>
          <w:tcPr>
            <w:tcW w:w="13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763"/>
        </w:trPr>
        <w:tc>
          <w:tcPr>
            <w:tcW w:w="440" w:type="dxa"/>
            <w:vAlign w:val="bottom"/>
            <w:tcBorders>
              <w:bottom w:val="single" w:sz="8" w:color="9A9A9A"/>
            </w:tcBorders>
          </w:tcPr>
          <w:p>
            <w:pPr>
              <w:spacing w:after="0"/>
              <w:rPr>
                <w:sz w:val="24"/>
                <w:szCs w:val="24"/>
                <w:color w:val="auto"/>
              </w:rPr>
            </w:pPr>
          </w:p>
        </w:tc>
        <w:tc>
          <w:tcPr>
            <w:tcW w:w="80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-934085</wp:posOffset>
            </wp:positionV>
            <wp:extent cx="6858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-916305</wp:posOffset>
            </wp:positionV>
            <wp:extent cx="685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82" w:lineRule="exact"/>
        <w:rPr>
          <w:sz w:val="20"/>
          <w:szCs w:val="20"/>
          <w:color w:val="auto"/>
        </w:rPr>
      </w:pPr>
    </w:p>
    <w:p>
      <w:pPr>
        <w:ind w:left="440" w:hanging="432"/>
        <w:spacing w:after="0"/>
        <w:tabs>
          <w:tab w:leader="none" w:pos="4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Under the current laws of the Cayman Islands, the Group is not subject to tax on its income or capital gains.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Chinese Mainland</w:t>
      </w:r>
    </w:p>
    <w:p>
      <w:pPr>
        <w:spacing w:after="0" w:line="22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Under the PRC Enterprise Income Tax Law (the “EIT Law”), the standard enterprise income tax rate for domestic enterprises and foreign invested enterprises is 25%. In addition, the EIT Law and its implementing rules permit qualified “High and New Technologies Enterprise” (the “HNTE”) to enjoy a reduced 15% EIT income tax rate. The HNTE certificate is effective for a period of three years. Certain Chinese mainland subsidiaries, VIEs and VIEs’ subsidiaries, including Beijing U-Tiger Business, Beijing Yixin, Beijing U-Tiger Network, Hangzhou U-Tiger, Guangzhou U-Tiger and Beijing Xiangshang are qualified HNTEs and enjoy a reduced income tax rate of 15% for the years ended December 31, 2023, 2024 and 2025. An entity could re-apply for the HNTE certificate when the prior certificate expires. Historically, all companies successfully re-applied for the certificates when the prior certificate expired. The Group’s other Chinese mainland subsidiaries are subject to an income tax rate of 25%, according to EIT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Zealand</w:t>
      </w:r>
    </w:p>
    <w:p>
      <w:pPr>
        <w:spacing w:after="0" w:line="22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Group’s subsidiaries, TBNZ and TFNZ are located in New Zealand and are subject to an income tax rate of 28% for taxable income earned in New Zealand.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Group’s subsidiaries incorporated in Hong Kong are subject to a profits tax rate of 8.25% on total assessable profits up to HK$2,000,000 and 16.5% on any part of assessable profits over HK$2,000,000.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USA</w:t>
      </w:r>
    </w:p>
    <w:p>
      <w:pPr>
        <w:spacing w:after="0" w:line="26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Group’s subsidiaries incorporated in the USA are subject to a federal income tax rate of 21% for taxable income earned in the USA. Taxable income apportioned to New York, New York City, and New Jersey is also subject to tax at statutory income tax rates of 6.5%, 8.85%, and 11.5%,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Group’s subsidiaries incorporated in Singapore are subject to an income tax rate of 17% for taxable income earned in Singapore. In particular, Tiger Brokers (Singapore) Pte Ltd has been awarded the Financial Sector Incentive Standard-Tier (FSI-ST) scheme with effect from 1 January 2025 to 31 December 2029. Income and expenses derived from qualifying financial activities is subject to tax at 13.5% concessionary income tax 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2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The Group’s subsidiaries incorporated in Australia are subject to an income tax rate of 30% for taxable income earned in Australia.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TAXES (Continued)</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6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components of income before income taxes are as follows: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8"/>
        </w:trPr>
        <w:tc>
          <w:tcPr>
            <w:tcW w:w="3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3740" w:type="dxa"/>
            <w:vAlign w:val="bottom"/>
            <w:tcBorders>
              <w:bottom w:val="single" w:sz="8" w:color="auto"/>
            </w:tcBorders>
            <w:gridSpan w:val="5"/>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100" w:type="dxa"/>
            <w:vAlign w:val="bottom"/>
            <w:tcBorders>
              <w:bottom w:val="single" w:sz="8" w:color="auto"/>
            </w:tcBorders>
          </w:tcPr>
          <w:p>
            <w:pPr>
              <w:spacing w:after="0"/>
              <w:rPr>
                <w:sz w:val="24"/>
                <w:szCs w:val="24"/>
                <w:color w:val="auto"/>
              </w:rPr>
            </w:pPr>
          </w:p>
        </w:tc>
      </w:tr>
      <w:tr>
        <w:trPr>
          <w:trHeight w:val="209"/>
        </w:trPr>
        <w:tc>
          <w:tcPr>
            <w:tcW w:w="3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5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30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54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6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12,562,152</w:t>
            </w:r>
          </w:p>
        </w:tc>
        <w:tc>
          <w:tcPr>
            <w:tcW w:w="16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35,007,671</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21,956,167</w:t>
            </w: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Non-Chinese mainland</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33,431,585</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46,755,978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185,486,319</w:t>
            </w:r>
          </w:p>
        </w:tc>
      </w:tr>
      <w:tr>
        <w:trPr>
          <w:trHeight w:val="256"/>
        </w:trPr>
        <w:tc>
          <w:tcPr>
            <w:tcW w:w="64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income before income taxes</w:t>
            </w: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45,993,737</w:t>
            </w:r>
          </w:p>
        </w:tc>
        <w:tc>
          <w:tcPr>
            <w:tcW w:w="100" w:type="dxa"/>
            <w:vAlign w:val="bottom"/>
            <w:tcBorders>
              <w:bottom w:val="single" w:sz="8" w:color="CFF0FC"/>
            </w:tcBorders>
            <w:shd w:val="clear" w:color="auto" w:fill="CFF0FC"/>
          </w:tcPr>
          <w:p>
            <w:pPr>
              <w:spacing w:after="0"/>
              <w:rPr>
                <w:sz w:val="22"/>
                <w:szCs w:val="22"/>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81,763,649</w:t>
            </w:r>
          </w:p>
        </w:tc>
        <w:tc>
          <w:tcPr>
            <w:tcW w:w="10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207,442,486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-25400</wp:posOffset>
            </wp:positionV>
            <wp:extent cx="6858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current and deferred portions of income tax expense allocated to continuing operations,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Borders>
              <w:bottom w:val="single" w:sz="8" w:color="auto"/>
            </w:tcBorders>
            <w:gridSpan w:val="5"/>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100" w:type="dxa"/>
            <w:vAlign w:val="bottom"/>
            <w:tcBorders>
              <w:bottom w:val="single" w:sz="8" w:color="auto"/>
            </w:tcBorders>
          </w:tcPr>
          <w:p>
            <w:pPr>
              <w:spacing w:after="0"/>
              <w:rPr>
                <w:sz w:val="20"/>
                <w:szCs w:val="20"/>
                <w:color w:val="auto"/>
              </w:rPr>
            </w:pPr>
          </w:p>
        </w:tc>
      </w:tr>
      <w:tr>
        <w:trPr>
          <w:trHeight w:val="210"/>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154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6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Chinese mainland</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1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628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Non-Chinese mainland</w:t>
            </w:r>
          </w:p>
        </w:tc>
        <w:tc>
          <w:tcPr>
            <w:tcW w:w="1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(9,779,815)</w:t>
            </w:r>
          </w:p>
        </w:tc>
        <w:tc>
          <w:tcPr>
            <w:tcW w:w="10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(19,580,355)</w:t>
            </w: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(37,631,835)</w:t>
            </w:r>
          </w:p>
        </w:tc>
      </w:tr>
      <w:tr>
        <w:trPr>
          <w:trHeight w:val="209"/>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tax (expense)</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(9,779,815)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(19,580,355)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(37,631,912)</w:t>
            </w:r>
          </w:p>
        </w:tc>
      </w:tr>
      <w:tr>
        <w:trPr>
          <w:trHeight w:val="209"/>
        </w:trPr>
        <w:tc>
          <w:tcPr>
            <w:tcW w:w="62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1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Chinese mainland</w:t>
            </w:r>
          </w:p>
        </w:tc>
        <w:tc>
          <w:tcPr>
            <w:tcW w:w="12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548,704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(2,782,703)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606,219</w:t>
            </w:r>
          </w:p>
        </w:tc>
      </w:tr>
      <w:tr>
        <w:trPr>
          <w:trHeight w:val="216"/>
        </w:trPr>
        <w:tc>
          <w:tcPr>
            <w:tcW w:w="628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Non-Chinese mainland</w:t>
            </w:r>
          </w:p>
        </w:tc>
        <w:tc>
          <w:tcPr>
            <w:tcW w:w="1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(3,755,199)</w:t>
            </w:r>
          </w:p>
        </w:tc>
        <w:tc>
          <w:tcPr>
            <w:tcW w:w="10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1,953,337</w:t>
            </w: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1,064,828</w:t>
            </w:r>
          </w:p>
        </w:tc>
      </w:tr>
      <w:tr>
        <w:trPr>
          <w:trHeight w:val="209"/>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deferred tax (expense) benefit</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(3,206,495)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(829,366)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1,671,047</w:t>
            </w:r>
          </w:p>
        </w:tc>
      </w:tr>
      <w:tr>
        <w:trPr>
          <w:trHeight w:val="210"/>
        </w:trPr>
        <w:tc>
          <w:tcPr>
            <w:tcW w:w="62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Chinese mainland</w:t>
            </w:r>
          </w:p>
        </w:tc>
        <w:tc>
          <w:tcPr>
            <w:tcW w:w="12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548,704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(2,782,703)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606,142</w:t>
            </w:r>
          </w:p>
        </w:tc>
      </w:tr>
      <w:tr>
        <w:trPr>
          <w:trHeight w:val="216"/>
        </w:trPr>
        <w:tc>
          <w:tcPr>
            <w:tcW w:w="628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Non-Chinese mainland</w:t>
            </w:r>
          </w:p>
        </w:tc>
        <w:tc>
          <w:tcPr>
            <w:tcW w:w="1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(13,535,014)</w:t>
            </w:r>
          </w:p>
        </w:tc>
        <w:tc>
          <w:tcPr>
            <w:tcW w:w="10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(17,627,018)</w:t>
            </w: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(36,567,007)</w:t>
            </w:r>
          </w:p>
        </w:tc>
      </w:tr>
      <w:tr>
        <w:trPr>
          <w:trHeight w:val="209"/>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(12,986,310)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(20,409,721)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(35,960,865)</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-1302385</wp:posOffset>
            </wp:positionV>
            <wp:extent cx="685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-1302385</wp:posOffset>
            </wp:positionV>
            <wp:extent cx="6858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-736600</wp:posOffset>
            </wp:positionV>
            <wp:extent cx="6858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-736600</wp:posOffset>
            </wp:positionV>
            <wp:extent cx="6858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amounts of income taxes paid (net of refunds received) in different jurisdictions are set forth below:</w:t>
      </w:r>
    </w:p>
    <w:p>
      <w:pPr>
        <w:spacing w:after="0" w:line="11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124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300" w:type="dxa"/>
            <w:vAlign w:val="bottom"/>
            <w:tcBorders>
              <w:top w:val="single" w:sz="8" w:color="auto"/>
            </w:tcBorders>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4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gridSpan w:val="2"/>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23"/>
        </w:trPr>
        <w:tc>
          <w:tcPr>
            <w:tcW w:w="4440" w:type="dxa"/>
            <w:vAlign w:val="bottom"/>
          </w:tcPr>
          <w:p>
            <w:pPr>
              <w:spacing w:after="0"/>
              <w:rPr>
                <w:sz w:val="19"/>
                <w:szCs w:val="19"/>
                <w:color w:val="auto"/>
              </w:rPr>
            </w:pPr>
          </w:p>
        </w:tc>
        <w:tc>
          <w:tcPr>
            <w:tcW w:w="124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US$</w:t>
            </w: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US$</w:t>
            </w: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2300" w:type="dxa"/>
            <w:vAlign w:val="bottom"/>
            <w:gridSpan w:val="3"/>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Non-Chinese mainland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13,324,309</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11,288,825</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26,068,302</w:t>
            </w:r>
          </w:p>
        </w:tc>
        <w:tc>
          <w:tcPr>
            <w:tcW w:w="100" w:type="dxa"/>
            <w:vAlign w:val="bottom"/>
          </w:tcPr>
          <w:p>
            <w:pPr>
              <w:spacing w:after="0"/>
              <w:rPr>
                <w:sz w:val="18"/>
                <w:szCs w:val="18"/>
                <w:color w:val="auto"/>
              </w:rPr>
            </w:pPr>
          </w:p>
        </w:tc>
      </w:tr>
      <w:tr>
        <w:trPr>
          <w:trHeight w:val="216"/>
        </w:trPr>
        <w:tc>
          <w:tcPr>
            <w:tcW w:w="56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United States - federal</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3,610,000</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5,200,440</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14,400,000</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United States - New Jersey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729,000</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2,971,000</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5,120,000</w:t>
            </w:r>
          </w:p>
        </w:tc>
        <w:tc>
          <w:tcPr>
            <w:tcW w:w="100" w:type="dxa"/>
            <w:vAlign w:val="bottom"/>
          </w:tcPr>
          <w:p>
            <w:pPr>
              <w:spacing w:after="0"/>
              <w:rPr>
                <w:sz w:val="18"/>
                <w:szCs w:val="18"/>
                <w:color w:val="auto"/>
              </w:rPr>
            </w:pPr>
          </w:p>
        </w:tc>
      </w:tr>
      <w:tr>
        <w:trPr>
          <w:trHeight w:val="216"/>
        </w:trPr>
        <w:tc>
          <w:tcPr>
            <w:tcW w:w="56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New Zealand</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8,190,515</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2,365,230</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5,183,060</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jurisdictions</w:t>
            </w:r>
          </w:p>
        </w:tc>
        <w:tc>
          <w:tcPr>
            <w:tcW w:w="1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794,794</w:t>
            </w:r>
          </w:p>
        </w:tc>
        <w:tc>
          <w:tcPr>
            <w:tcW w:w="2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752,155</w:t>
            </w:r>
          </w:p>
        </w:tc>
        <w:tc>
          <w:tcPr>
            <w:tcW w:w="220" w:type="dxa"/>
            <w:vAlign w:val="bottom"/>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1,365,242</w:t>
            </w:r>
          </w:p>
        </w:tc>
        <w:tc>
          <w:tcPr>
            <w:tcW w:w="100" w:type="dxa"/>
            <w:vAlign w:val="bottom"/>
          </w:tcPr>
          <w:p>
            <w:pPr>
              <w:spacing w:after="0"/>
              <w:rPr>
                <w:sz w:val="18"/>
                <w:szCs w:val="18"/>
                <w:color w:val="auto"/>
              </w:rPr>
            </w:pPr>
          </w:p>
        </w:tc>
      </w:tr>
      <w:tr>
        <w:trPr>
          <w:trHeight w:val="250"/>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income tax paid</w:t>
            </w:r>
          </w:p>
        </w:tc>
        <w:tc>
          <w:tcPr>
            <w:tcW w:w="1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13,324,309</w:t>
            </w:r>
          </w:p>
        </w:tc>
        <w:tc>
          <w:tcPr>
            <w:tcW w:w="2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11,288,825</w:t>
            </w:r>
          </w:p>
        </w:tc>
        <w:tc>
          <w:tcPr>
            <w:tcW w:w="220" w:type="dxa"/>
            <w:vAlign w:val="bottom"/>
            <w:tcBorders>
              <w:bottom w:val="single" w:sz="8" w:color="CFF0FC"/>
            </w:tcBorders>
            <w:shd w:val="clear" w:color="auto" w:fill="CFF0FC"/>
          </w:tcPr>
          <w:p>
            <w:pPr>
              <w:spacing w:after="0"/>
              <w:rPr>
                <w:sz w:val="21"/>
                <w:szCs w:val="21"/>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26,068,379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-24765</wp:posOffset>
            </wp:positionV>
            <wp:extent cx="7747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7747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enterprise income tax law imposes a withholding income tax on dividends distributed by a foreign investment enterprise ("FIE") to its immediate holding company outside of the PRC. According to the arrangement between Chinese mainland and Hong Kong, dividends paid by an FIE in Chinese mainland to its immediate holding company in Hong Kong will be subject to withholding tax at a rate of no more than 5%. Dividends paid from US subsidiaries to their parent company are subject to a US withholding tax at a rate of 30%. Cash dividends paid by a New Zealand incorporated company is subject to 5% withholding under the New Zealand-Singapore Double Tax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(Continued)</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does not intend to have any of its subsidiaries and VIEs located in jurisdictions that would assess a tax on a distribution distribute any accumulated earnings, but rather expects that such profits will be indefinitely reinvested by such subsidiaries and VIEs for their respective local operations. Accordingly, no liability for withholding tax was recorded as of December 31, 2024 and 2025. Undistributed earnings of such subsidiaries and VIEs amounted to US$214.1 million and US$404.6 million and the unrecognized deferred tax liability related to such earnings amounted to US$23.4 million and US$41.3 million as of December 31, 2024 and December 31, 2025, respectively.</w:t>
      </w:r>
    </w:p>
    <w:p>
      <w:pPr>
        <w:spacing w:after="0" w:line="183"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Group’s subsidiaries and consolidated VIEs located in the Chinese mainland, Hong Kong, New Zealand, the USA, Singapore and other jurisdictions are open to tax examination for the period from its inception until the year ended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The significant components of the Group’s deferred tax assets and liabilities were as follows: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24"/>
        </w:trPr>
        <w:tc>
          <w:tcPr>
            <w:tcW w:w="5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00" w:type="dxa"/>
            <w:vAlign w:val="bottom"/>
            <w:tcBorders>
              <w:bottom w:val="single" w:sz="8" w:color="auto"/>
            </w:tcBorders>
          </w:tcPr>
          <w:p>
            <w:pPr>
              <w:spacing w:after="0"/>
              <w:rPr>
                <w:sz w:val="24"/>
                <w:szCs w:val="24"/>
                <w:color w:val="auto"/>
              </w:rPr>
            </w:pPr>
          </w:p>
        </w:tc>
      </w:tr>
      <w:tr>
        <w:trPr>
          <w:trHeight w:val="210"/>
        </w:trPr>
        <w:tc>
          <w:tcPr>
            <w:tcW w:w="5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209"/>
        </w:trPr>
        <w:tc>
          <w:tcPr>
            <w:tcW w:w="5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9"/>
              </w:rPr>
              <w:t>US$</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22,460,370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21,363,776</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4,104,367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6,140,895</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2,019,091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2,369,987</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Withholding tax credit carryforwards</w:t>
            </w:r>
          </w:p>
        </w:tc>
        <w:tc>
          <w:tcPr>
            <w:tcW w:w="1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1,013,796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139,758</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expense carryforwards</w:t>
            </w: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807,824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828,788</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504,250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894,354</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instruments held, at fair value</w:t>
            </w: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546,762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572,453</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860,624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1,699,590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228,010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234,009</w:t>
            </w: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32,545,094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34,243,610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21,923,356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21,316,154</w:t>
            </w:r>
          </w:p>
        </w:tc>
      </w:tr>
      <w:tr>
        <w:trPr>
          <w:trHeight w:val="210"/>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14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10,621,738</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12,927,456</w:t>
            </w:r>
          </w:p>
        </w:tc>
      </w:tr>
      <w:tr>
        <w:trPr>
          <w:trHeight w:val="209"/>
        </w:trPr>
        <w:tc>
          <w:tcPr>
            <w:tcW w:w="5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1,788,555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1,535,965</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1,945,981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2,229,588</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instruments held, at fair value</w:t>
            </w: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382,728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451,332</w:t>
            </w:r>
          </w:p>
        </w:tc>
      </w:tr>
      <w:tr>
        <w:trPr>
          <w:trHeight w:val="210"/>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4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4,117,264</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4,216,885</w:t>
            </w:r>
          </w:p>
        </w:tc>
      </w:tr>
      <w:tr>
        <w:trPr>
          <w:trHeight w:val="209"/>
        </w:trPr>
        <w:tc>
          <w:tcPr>
            <w:tcW w:w="5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w:t>
            </w:r>
          </w:p>
        </w:tc>
        <w:tc>
          <w:tcPr>
            <w:tcW w:w="1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8,573,135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10,404,896</w:t>
            </w:r>
          </w:p>
        </w:tc>
      </w:t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 net</w:t>
            </w: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2,068,661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1,694,325</w:t>
            </w:r>
          </w:p>
        </w:tc>
      </w:tr>
      <w:tr>
        <w:trPr>
          <w:trHeight w:val="410"/>
        </w:trPr>
        <w:tc>
          <w:tcPr>
            <w:tcW w:w="5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movement of the valuation allowance is as follows:</w:t>
            </w: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5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80" w:type="dxa"/>
            <w:vAlign w:val="bottom"/>
            <w:tcBorders>
              <w:bottom w:val="single" w:sz="8" w:color="auto"/>
            </w:tcBorders>
            <w:gridSpan w:val="9"/>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10"/>
        </w:trPr>
        <w:tc>
          <w:tcPr>
            <w:tcW w:w="5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Pr>
          <w:p>
            <w:pPr>
              <w:spacing w:after="0"/>
              <w:rPr>
                <w:sz w:val="18"/>
                <w:szCs w:val="18"/>
                <w:color w:val="auto"/>
              </w:rPr>
            </w:pPr>
          </w:p>
        </w:tc>
        <w:tc>
          <w:tcPr>
            <w:tcW w:w="13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5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0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1480" w:type="dxa"/>
            <w:vAlign w:val="bottom"/>
            <w:tcBorders>
              <w:top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29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11,307,489</w:t>
            </w:r>
          </w:p>
        </w:tc>
        <w:tc>
          <w:tcPr>
            <w:tcW w:w="160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18,262,801</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21,923,356</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of valuation allowance</w:t>
            </w:r>
          </w:p>
        </w:tc>
        <w:tc>
          <w:tcPr>
            <w:tcW w:w="2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7,372,595</w:t>
            </w:r>
          </w:p>
        </w:tc>
        <w:tc>
          <w:tcPr>
            <w:tcW w:w="16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6,576,529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2,883,176</w:t>
            </w:r>
          </w:p>
        </w:tc>
      </w:tr>
      <w:tr>
        <w:trPr>
          <w:trHeight w:val="216"/>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Reversals of valuation allowance</w:t>
            </w:r>
          </w:p>
        </w:tc>
        <w:tc>
          <w:tcPr>
            <w:tcW w:w="29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(187,483)</w:t>
            </w:r>
          </w:p>
        </w:tc>
        <w:tc>
          <w:tcPr>
            <w:tcW w:w="16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(2,599,680)</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(4,185,003)</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4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(229,800)</w:t>
            </w:r>
          </w:p>
        </w:tc>
        <w:tc>
          <w:tcPr>
            <w:tcW w:w="120" w:type="dxa"/>
            <w:vAlign w:val="bottom"/>
          </w:tcPr>
          <w:p>
            <w:pPr>
              <w:spacing w:after="0"/>
              <w:rPr>
                <w:sz w:val="18"/>
                <w:szCs w:val="18"/>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(316,294)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694,625</w:t>
            </w:r>
          </w:p>
        </w:tc>
      </w:tr>
      <w:tr>
        <w:trPr>
          <w:trHeight w:val="209"/>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the valuation allowance</w:t>
            </w:r>
          </w:p>
        </w:tc>
        <w:tc>
          <w:tcPr>
            <w:tcW w:w="144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6,955,312</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3,660,555</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(607,202)</w:t>
            </w: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144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18,262,801</w:t>
            </w:r>
          </w:p>
        </w:tc>
        <w:tc>
          <w:tcPr>
            <w:tcW w:w="120" w:type="dxa"/>
            <w:vAlign w:val="bottom"/>
          </w:tcPr>
          <w:p>
            <w:pPr>
              <w:spacing w:after="0"/>
              <w:rPr>
                <w:sz w:val="18"/>
                <w:szCs w:val="18"/>
                <w:color w:val="auto"/>
              </w:rPr>
            </w:pPr>
          </w:p>
        </w:tc>
        <w:tc>
          <w:tcPr>
            <w:tcW w:w="14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21,923,356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21,316,154</w:t>
            </w:r>
          </w:p>
        </w:tc>
      </w:tr>
      <w:tr>
        <w:trPr>
          <w:trHeight w:val="20"/>
        </w:trPr>
        <w:tc>
          <w:tcPr>
            <w:tcW w:w="5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28"/>
        </w:trPr>
        <w:tc>
          <w:tcPr>
            <w:tcW w:w="5120" w:type="dxa"/>
            <w:vAlign w:val="bottom"/>
          </w:tcPr>
          <w:p>
            <w:pPr>
              <w:spacing w:after="0"/>
              <w:rPr>
                <w:sz w:val="24"/>
                <w:szCs w:val="24"/>
                <w:color w:val="auto"/>
              </w:rPr>
            </w:pPr>
          </w:p>
        </w:tc>
        <w:tc>
          <w:tcPr>
            <w:tcW w:w="2940" w:type="dxa"/>
            <w:vAlign w:val="bottom"/>
            <w:gridSpan w:val="3"/>
          </w:tcPr>
          <w:p>
            <w:pPr>
              <w:jc w:val="right"/>
              <w:ind w:right="2260"/>
              <w:spacing w:after="0"/>
              <w:rPr>
                <w:sz w:val="20"/>
                <w:szCs w:val="20"/>
                <w:color w:val="auto"/>
              </w:rPr>
            </w:pPr>
            <w:r>
              <w:rPr>
                <w:rFonts w:ascii="Times New Roman" w:cs="Times New Roman" w:eastAsia="Times New Roman" w:hAnsi="Times New Roman"/>
                <w:sz w:val="18"/>
                <w:szCs w:val="18"/>
                <w:color w:val="auto"/>
              </w:rPr>
              <w:t>F-35</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63"/>
        </w:trPr>
        <w:tc>
          <w:tcPr>
            <w:tcW w:w="5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-3805555</wp:posOffset>
            </wp:positionV>
            <wp:extent cx="8572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-2965450</wp:posOffset>
            </wp:positionV>
            <wp:extent cx="8572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-1079500</wp:posOffset>
            </wp:positionV>
            <wp:extent cx="7747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-1079500</wp:posOffset>
            </wp:positionV>
            <wp:extent cx="6858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(Continued)</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2024 and 2025, the Group had net operating loss carryforwards of US$131,416,993 and US$129,741,293,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expiration status of net operating loss carryforwards as of December 31, 2025 is listed below.</w:t>
            </w:r>
          </w:p>
        </w:tc>
        <w:tc>
          <w:tcPr>
            <w:tcW w:w="2060" w:type="dxa"/>
            <w:vAlign w:val="bottom"/>
          </w:tcPr>
          <w:p>
            <w:pPr>
              <w:spacing w:after="0"/>
              <w:rPr>
                <w:sz w:val="20"/>
                <w:szCs w:val="20"/>
                <w:color w:val="auto"/>
              </w:rPr>
            </w:pPr>
          </w:p>
        </w:tc>
      </w:tr>
      <w:tr>
        <w:trPr>
          <w:trHeight w:val="324"/>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Expiration year</w:t>
            </w:r>
          </w:p>
        </w:tc>
        <w:tc>
          <w:tcPr>
            <w:tcW w:w="20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09"/>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6,083,279</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7,206,834</w:t>
            </w:r>
          </w:p>
        </w:tc>
      </w:t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6,015,368</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4,573,483</w:t>
            </w:r>
          </w:p>
        </w:tc>
      </w:t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 through 2045</w:t>
            </w:r>
          </w:p>
        </w:tc>
        <w:tc>
          <w:tcPr>
            <w:tcW w:w="2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65,146,458</w:t>
            </w:r>
          </w:p>
        </w:tc>
      </w:tr>
      <w:tr>
        <w:trPr>
          <w:trHeight w:val="234"/>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Indefinitely</w:t>
            </w: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40,715,871</w:t>
            </w:r>
          </w:p>
        </w:tc>
      </w:tr>
    </w:tbl>
    <w:p>
      <w:pPr>
        <w:spacing w:after="0" w:line="17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Group had advertising expenses carryforwards of US$3,931,434 and US$3,315,153, respectively, which can be carried forward indefinitely.</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Group had withholding tax credit carryforwards of US$1,013,796 and US$139,758, respectively. The balance as of December 31, 2025 will expire in 2026.</w:t>
      </w:r>
    </w:p>
    <w:p>
      <w:pPr>
        <w:spacing w:after="0" w:line="16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Management assessed the positive and negative evidence in certain entities in Chinese mainland, Hong Kong, the United States, New Zealand and Singapore, and estimated they will have sufficient future taxable income to utilize the existing deferred tax assets. Significant objective positive evidence included the significant growth in customer trading activities in the Singapore entity where net operating loss carryforwards can be carried forward indefinitely, in United States entities where net operating loss carryforwards generated after 2017 can be carried forward indefinitely, in Hong Kong entities where net operating loss carryforwards can be carried forward indefinitely, and net operating loss carryforwards in New Zealand can be carried forward indefinitely. Net operating loss carryforwards can be carried forward 5 years in Chinese mainland except for an entity qualified as “HNTE” which can be carried forward 10 years. The Group has concluded that deferred tax asset recognized for certain entities in Chinese mainland, Hong Kong, the United States, New Zealand and Singapore is more likely than not to be realized.</w:t>
      </w:r>
    </w:p>
    <w:p>
      <w:pPr>
        <w:spacing w:after="0" w:line="19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 valuation allowance is provided against deferred tax assets when the Group determines that it is more-likely-than-not that the deferred tax assets will not be realized in the future. The Group considers positive and negative evidence at each individual tax-paying component to determine whether some portion or all of the deferred tax assets are more-likely-than-not to be realized.</w:t>
      </w:r>
    </w:p>
    <w:p>
      <w:pPr>
        <w:spacing w:after="0" w:line="17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realizability of deferred tax assets requires significant judgment associated with evaluation of past and projected financial performance which incorporates projections of future taxable income, including forecasted revenues and expenses, by tax-paying component. In assessing the realizability of deferred tax assets, management considered the future taxable earnings which consists of forecasted revenue, operating cost and expenses, and the expected timing of the reversal of temporary differences. As of December 31, 2024 and 2025, valuation allowances of US$21,923,356 and US$21,316,154, respectively, were provided against the deferred tax assets that management determined are not more-likely-than-not to be realized in the future. To the extent that actual experience deviates from the assumptions, the projections would be affected and hence management’s assessment of realizability of deferred tax assets may change.</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Deferred tax assets related to net operating loss carryforwards without a valuation allowance recognized for the years ended December 31, 2023, 2024 and 2025 were US$1,510,584, US$145,882 and nil, respectively. Due to changes in judgment about the realizability of deferred tax assets, valuation allowance increases of US$3,574,020, US$3,327,769 and nil and valuation allowance decreases of nil, US$1,304,439 and nil were recorded in 2023, 2024 and 2025, respectively. The Group realized a benefit of utilizing deferred tax assets of US$187,483, US$1,295,241 and US$1,343,434 in 2023, 2024 and 2025 that were offset with a valuation allowance at the beginning of the year.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(Continued)</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Reconciliations between the income tax expense computed by applying the Chinese mainland's 25% statutory income tax rate, the standard enterprise income tax rate in the jurisdiction of tax domicile of a significant portion of our business, to income before income taxes and the reported income tax expense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10"/>
        </w:trPr>
        <w:tc>
          <w:tcPr>
            <w:tcW w:w="7640" w:type="dxa"/>
            <w:vAlign w:val="bottom"/>
          </w:tcPr>
          <w:p>
            <w:pPr>
              <w:spacing w:after="0"/>
              <w:rPr>
                <w:sz w:val="18"/>
                <w:szCs w:val="18"/>
                <w:color w:val="auto"/>
              </w:rPr>
            </w:pPr>
          </w:p>
        </w:tc>
        <w:tc>
          <w:tcPr>
            <w:tcW w:w="176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7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45,993,737</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81,763,649</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Chinese mainland statutory income tax rate</w:t>
            </w:r>
          </w:p>
        </w:tc>
        <w:tc>
          <w:tcPr>
            <w:tcW w:w="1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at statutory income tax rate</w:t>
            </w:r>
          </w:p>
        </w:tc>
        <w:tc>
          <w:tcPr>
            <w:tcW w:w="1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(11,498,434)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(20,440,912)</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Effect of income tax rate difference in other jurisdictions</w:t>
            </w:r>
          </w:p>
        </w:tc>
        <w:tc>
          <w:tcPr>
            <w:tcW w:w="1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23,195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2,527,278</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preferential tax rates</w:t>
            </w:r>
          </w:p>
        </w:tc>
        <w:tc>
          <w:tcPr>
            <w:tcW w:w="17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1,306,561</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3,226,674</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Super deduction of research and development expense</w:t>
            </w:r>
          </w:p>
        </w:tc>
        <w:tc>
          <w:tcPr>
            <w:tcW w:w="1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5,509,308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5,544,966</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(1,998,354)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(10,651,228)</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Non-taxable income</w:t>
            </w:r>
          </w:p>
        </w:tc>
        <w:tc>
          <w:tcPr>
            <w:tcW w:w="1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194,107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1,758,388</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(7,185,112)</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(3,976,849)</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benefits from share-based compensation</w:t>
            </w:r>
          </w:p>
        </w:tc>
        <w:tc>
          <w:tcPr>
            <w:tcW w:w="1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662,419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1,601,962</w:t>
            </w:r>
          </w:p>
        </w:tc>
        <w:tc>
          <w:tcPr>
            <w:tcW w:w="0" w:type="dxa"/>
            <w:vAlign w:val="bottom"/>
          </w:tcPr>
          <w:p>
            <w:pPr>
              <w:spacing w:after="0"/>
              <w:rPr>
                <w:sz w:val="1"/>
                <w:szCs w:val="1"/>
                <w:color w:val="auto"/>
              </w:rPr>
            </w:pPr>
          </w:p>
        </w:tc>
      </w:tr>
      <w:tr>
        <w:trPr>
          <w:trHeight w:val="25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7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(12,986,310)</w:t>
            </w: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(20,409,721)</w:t>
            </w:r>
          </w:p>
        </w:tc>
        <w:tc>
          <w:tcPr>
            <w:tcW w:w="0" w:type="dxa"/>
            <w:vAlign w:val="bottom"/>
          </w:tcPr>
          <w:p>
            <w:pPr>
              <w:spacing w:after="0"/>
              <w:rPr>
                <w:sz w:val="1"/>
                <w:szCs w:val="1"/>
                <w:color w:val="auto"/>
              </w:rPr>
            </w:pPr>
          </w:p>
        </w:tc>
      </w:tr>
      <w:tr>
        <w:trPr>
          <w:trHeight w:val="628"/>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10"/>
        </w:trPr>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 expense at statutory income tax rate</w:t>
            </w:r>
          </w:p>
        </w:tc>
        <w:tc>
          <w:tcPr>
            <w:tcW w:w="2400" w:type="dxa"/>
            <w:vAlign w:val="bottom"/>
            <w:gridSpan w:val="6"/>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(51,860,621)</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Singapore</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Statutory income tax rate difference between Chinese mainland and Singapore</w:t>
            </w:r>
          </w:p>
        </w:tc>
        <w:tc>
          <w:tcPr>
            <w:tcW w:w="2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3,521,285</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Others</w:t>
            </w:r>
          </w:p>
        </w:tc>
        <w:tc>
          <w:tcPr>
            <w:tcW w:w="2400" w:type="dxa"/>
            <w:vAlign w:val="bottom"/>
            <w:gridSpan w:val="6"/>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(54,706)</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New Zealand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Statutory income tax rate difference between Chinese mainland and New Zealand</w:t>
            </w:r>
          </w:p>
        </w:tc>
        <w:tc>
          <w:tcPr>
            <w:tcW w:w="2400" w:type="dxa"/>
            <w:vAlign w:val="bottom"/>
            <w:gridSpan w:val="6"/>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(935,185)</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effect of bad debt write-off</w:t>
            </w:r>
          </w:p>
        </w:tc>
        <w:tc>
          <w:tcPr>
            <w:tcW w:w="2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3,150,262</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Others</w:t>
            </w:r>
          </w:p>
        </w:tc>
        <w:tc>
          <w:tcPr>
            <w:tcW w:w="222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531,223</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Hong Kong</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Statutory income tax rate difference between Chinese mainland and Hong Kong</w:t>
            </w:r>
          </w:p>
        </w:tc>
        <w:tc>
          <w:tcPr>
            <w:tcW w:w="222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3,605,777</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Others</w:t>
            </w:r>
          </w:p>
        </w:tc>
        <w:tc>
          <w:tcPr>
            <w:tcW w:w="2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1,149,846</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76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8"/>
                <w:szCs w:val="18"/>
                <w:i w:val="1"/>
                <w:iCs w:val="1"/>
                <w:color w:val="auto"/>
              </w:rPr>
              <w:t>United States</w:t>
            </w:r>
          </w:p>
        </w:tc>
        <w:tc>
          <w:tcPr>
            <w:tcW w:w="220" w:type="dxa"/>
            <w:vAlign w:val="bottom"/>
            <w:shd w:val="clear" w:color="auto" w:fill="CCEC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Statutory income tax rate difference between Chinese mainland and United States</w:t>
            </w:r>
          </w:p>
        </w:tc>
        <w:tc>
          <w:tcPr>
            <w:tcW w:w="22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2,740,834</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640" w:type="dxa"/>
            <w:vAlign w:val="bottom"/>
            <w:shd w:val="clear" w:color="auto" w:fill="CCECFF"/>
          </w:tcPr>
          <w:p>
            <w:pPr>
              <w:ind w:left="28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220" w:type="dxa"/>
            <w:vAlign w:val="bottom"/>
            <w:shd w:val="clear" w:color="auto" w:fill="CCECFF"/>
          </w:tcPr>
          <w:p>
            <w:pPr>
              <w:spacing w:after="0"/>
              <w:rPr>
                <w:sz w:val="18"/>
                <w:szCs w:val="18"/>
                <w:color w:val="auto"/>
              </w:rPr>
            </w:pPr>
          </w:p>
        </w:tc>
        <w:tc>
          <w:tcPr>
            <w:tcW w:w="2180" w:type="dxa"/>
            <w:vAlign w:val="bottom"/>
            <w:gridSpan w:val="5"/>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(4,111,251)</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303,347</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Other foreign jurisdictions</w:t>
            </w:r>
          </w:p>
        </w:tc>
        <w:tc>
          <w:tcPr>
            <w:tcW w:w="2400" w:type="dxa"/>
            <w:vAlign w:val="bottom"/>
            <w:gridSpan w:val="6"/>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(96,864)</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valuation allowance</w:t>
            </w:r>
          </w:p>
        </w:tc>
        <w:tc>
          <w:tcPr>
            <w:tcW w:w="240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(365,581)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Non-deductible expenses</w:t>
            </w:r>
          </w:p>
        </w:tc>
        <w:tc>
          <w:tcPr>
            <w:tcW w:w="2400" w:type="dxa"/>
            <w:vAlign w:val="bottom"/>
            <w:gridSpan w:val="6"/>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(1,658,817)</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Effect of preferential tax rates</w:t>
            </w:r>
          </w:p>
        </w:tc>
        <w:tc>
          <w:tcPr>
            <w:tcW w:w="222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2,502,281</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Super deduction of research and development expenses</w:t>
            </w:r>
          </w:p>
        </w:tc>
        <w:tc>
          <w:tcPr>
            <w:tcW w:w="2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3,090,613</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Excess tax benefits from share-based compensation</w:t>
            </w:r>
          </w:p>
        </w:tc>
        <w:tc>
          <w:tcPr>
            <w:tcW w:w="380" w:type="dxa"/>
            <w:vAlign w:val="bottom"/>
            <w:tcBorders>
              <w:bottom w:val="single" w:sz="8" w:color="CFF0FC"/>
            </w:tcBorders>
            <w:gridSpan w:val="2"/>
            <w:shd w:val="clear" w:color="auto" w:fill="CFF0FC"/>
          </w:tcPr>
          <w:p>
            <w:pPr>
              <w:spacing w:after="0"/>
              <w:rPr>
                <w:sz w:val="18"/>
                <w:szCs w:val="18"/>
                <w:color w:val="auto"/>
              </w:rPr>
            </w:pPr>
          </w:p>
        </w:tc>
        <w:tc>
          <w:tcPr>
            <w:tcW w:w="18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2,526,692</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9"/>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40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(35,960,865)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F-37</w:t>
            </w: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7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-5099685</wp:posOffset>
            </wp:positionV>
            <wp:extent cx="8572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-5082540</wp:posOffset>
            </wp:positionV>
            <wp:extent cx="8572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-1216660</wp:posOffset>
            </wp:positionV>
            <wp:extent cx="6858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1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82" w:lineRule="exact"/>
        <w:rPr>
          <w:sz w:val="20"/>
          <w:szCs w:val="20"/>
          <w:color w:val="auto"/>
        </w:rPr>
      </w:pPr>
    </w:p>
    <w:p>
      <w:pPr>
        <w:ind w:left="440" w:hanging="432"/>
        <w:spacing w:after="0"/>
        <w:tabs>
          <w:tab w:leader="none" w:pos="4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BOND PAYABLE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Series A1 Note</w:t>
      </w:r>
    </w:p>
    <w:p>
      <w:pPr>
        <w:spacing w:after="0" w:line="22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February 25, 2021, the Company entered into the Convertible Note Purchase Agreement (the “Agreement”) with a group of investors (the “Investors”) to issue its convertible bonds with an aggregate principal amount of US$44 million to the Investors through a private placement (2021 Series A1 Note). The convertible notes issued will mature on February 25, 2026 unless previously converted. The 2021 Series A1 Note bears annual interest rate at 1% from the issuance date until the outstanding principal amount is fully repaid.</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September 27 and 30, 2021, the Company and the Investors entered into an amendment agreement with a cash conversion feature added into the Agreement. Upon conversion, the Company will pay or deliver, as the case may be, cash, ADSs, or a combination of cash and ADSs, at the Company’s election. The Company accounted for the amendment as an extinguishment of the previous bonds.</w:t>
      </w:r>
    </w:p>
    <w:p>
      <w:pPr>
        <w:spacing w:after="0" w:line="176"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 xml:space="preserve">Beginning January 1, 2022, due to the adoption of ASU 2020-06, </w:t>
      </w:r>
      <w:r>
        <w:rPr>
          <w:rFonts w:ascii="Times New Roman" w:cs="Times New Roman" w:eastAsia="Times New Roman" w:hAnsi="Times New Roman"/>
          <w:sz w:val="18"/>
          <w:szCs w:val="18"/>
          <w:color w:val="343541"/>
        </w:rPr>
        <w:t>the</w:t>
      </w:r>
      <w:r>
        <w:rPr>
          <w:rFonts w:ascii="Times New Roman" w:cs="Times New Roman" w:eastAsia="Times New Roman" w:hAnsi="Times New Roman"/>
          <w:sz w:val="18"/>
          <w:szCs w:val="18"/>
          <w:color w:val="auto"/>
        </w:rPr>
        <w:t xml:space="preserve"> 2021 Series A1 Note </w:t>
      </w:r>
      <w:r>
        <w:rPr>
          <w:rFonts w:ascii="Times New Roman" w:cs="Times New Roman" w:eastAsia="Times New Roman" w:hAnsi="Times New Roman"/>
          <w:sz w:val="18"/>
          <w:szCs w:val="18"/>
          <w:color w:val="343541"/>
        </w:rPr>
        <w:t>has been accounted for as a sin</w:t>
      </w:r>
      <w:r>
        <w:rPr>
          <w:rFonts w:ascii="Times New Roman" w:cs="Times New Roman" w:eastAsia="Times New Roman" w:hAnsi="Times New Roman"/>
          <w:sz w:val="18"/>
          <w:szCs w:val="18"/>
          <w:color w:val="auto"/>
        </w:rPr>
        <w:t>gle instrument classified as a liability.</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February 26, 2026, the Company and one of the Investors of the 2021 Series A1 Note entered into an amendment agreement which extends the maturity of US$30 million convertible bonds to another two years. Such balance was then recorded in Convertible bonds – non-current in the Consolidated balance sheets as of December 31, 2025. The Company has repaid the principal of US$10 million and the accumulated interest of 2021 Series A1 Note by the end of March 2026 with the rest principal of US$4 million and the accumulated interest to be fully repaid by the end of April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Series A2 Note</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May 5, 2021, the Company issued US$21 million convertible bonds (2021 Series A2 Note). The convertible notes to be issued will mature on May 5, 2026 unless previously converted. The Bond bears annual interest rate at 1% from the issuance date until the outstanding principal amount is fully repaid. The 2021 Series A2 Note did not have any embedded conversion option which required to be bifurcated and separately accounted for as a derivative</w:t>
      </w:r>
    </w:p>
    <w:p>
      <w:pPr>
        <w:jc w:val="both"/>
        <w:spacing w:after="0" w:line="266" w:lineRule="auto"/>
        <w:rPr>
          <w:sz w:val="20"/>
          <w:szCs w:val="20"/>
          <w:color w:val="auto"/>
        </w:rPr>
      </w:pPr>
      <w:r>
        <w:rPr>
          <w:rFonts w:ascii="Times New Roman" w:cs="Times New Roman" w:eastAsia="Times New Roman" w:hAnsi="Times New Roman"/>
          <w:sz w:val="18"/>
          <w:szCs w:val="18"/>
          <w:color w:val="auto"/>
        </w:rPr>
        <w:t>under ASC 815 Derivatives and Hedging, nor do they contain a cash conversion feature. The Company accounted for the 2021 Series A2 Note in accordance with ASC 470 Debt, as a single debt instrument and subsequently measured at amortized cost. No beneficial conversion feature (the “BCF”) was recognized as the set conversion price for the 2021 Series A2 Note is greater than the fair value of the ADSs price at date of issuance.</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212529"/>
        </w:rPr>
        <w:t xml:space="preserve">On March 16, 2026, the Company and the Investor of the 2021 Series A2 Note entered into an amendment agreement which extends the maturity of US$21 million convertible bonds to another two years. Such balance was recorded in Convertible bonds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non-current in the Consolidated balance sheets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Series B Note</w:t>
      </w:r>
    </w:p>
    <w:p>
      <w:pPr>
        <w:spacing w:after="0" w:line="22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On April 12, 2021, a consortium of institutional investors subscribed to purchase convertible notes in an aggregate principal amount of US$90 million through a private placement (2021 Series B Note). The convertible notes issued will mature on April 12, 2026 unless previously converted. The Bond bears annual interest rate at 1% from the issuance date until the outstanding principal amount is fully repaid. The 2021 Series B Note did not have any embedded conversion option which required to be bifurcated and separately accounted for as a derivative under ASC 815 Derivatives and Hedging, nor do they contain a cash conversion feature. The Company accounted for the 2021 Series B Note in accordance with ASC 470 Debt, as a single debt instrument and subsequently measured at amortized cost. No BCF was recognized as the set conversion price for the 2021 Series B Note is greater than the fair value of the ADSs price at date of issuance.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82" w:lineRule="exact"/>
        <w:rPr>
          <w:sz w:val="20"/>
          <w:szCs w:val="20"/>
          <w:color w:val="auto"/>
        </w:rPr>
      </w:pPr>
    </w:p>
    <w:p>
      <w:pPr>
        <w:ind w:left="440" w:hanging="432"/>
        <w:spacing w:after="0"/>
        <w:tabs>
          <w:tab w:leader="none" w:pos="4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BOND PAYABLE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Series B Note (Continued)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fully repaid the principal of the US$ 90 million and the accumulated interest of 2021 Series B Note by the end of March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980" w:type="dxa"/>
            <w:vAlign w:val="bottom"/>
            <w:tcBorders>
              <w:bottom w:val="single" w:sz="8" w:color="auto"/>
            </w:tcBorders>
            <w:gridSpan w:val="4"/>
          </w:tcPr>
          <w:p>
            <w:pPr>
              <w:ind w:left="13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2021</w:t>
            </w:r>
          </w:p>
        </w:tc>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A1 Note US$ 44,000,000</w:t>
            </w:r>
          </w:p>
        </w:tc>
        <w:tc>
          <w:tcPr>
            <w:tcW w:w="4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1.00% due to 2026</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44,435,897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45,961,356</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2021</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A2 Note US$ 21,000,000</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1.00% due to 2026</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21,758,873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21,975,810</w:t>
            </w:r>
          </w:p>
        </w:tc>
        <w:tc>
          <w:tcPr>
            <w:tcW w:w="100" w:type="dxa"/>
            <w:vAlign w:val="bottom"/>
          </w:tcPr>
          <w:p>
            <w:pPr>
              <w:spacing w:after="0"/>
              <w:rPr>
                <w:sz w:val="18"/>
                <w:szCs w:val="18"/>
                <w:color w:val="auto"/>
              </w:rPr>
            </w:pPr>
          </w:p>
        </w:tc>
      </w:tr>
      <w:tr>
        <w:trPr>
          <w:trHeight w:val="216"/>
        </w:trPr>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2021</w:t>
            </w:r>
          </w:p>
        </w:tc>
        <w:tc>
          <w:tcPr>
            <w:tcW w:w="6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B Note US$ 90,000,000 1.00% due to 2026</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93,310,627</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94,240,937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159,505,397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162,178,103</w:t>
            </w:r>
          </w:p>
        </w:tc>
        <w:tc>
          <w:tcPr>
            <w:tcW w:w="100" w:type="dxa"/>
            <w:vAlign w:val="bottom"/>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6858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440" w:hanging="432"/>
        <w:spacing w:after="0"/>
        <w:tabs>
          <w:tab w:leader="none" w:pos="4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Company’s Amended and Restated Memorandum of Association authorizes the Company to issue 4,662,388,278 Class A ordinary shares and 337,611,722 Class B ordinary shares with a par value of US$0.00001 per share. The shareholders of Class A ordinary shares and Class B ordinary shares have the same rights except for the voting and conversion rights. Each Class A ordinary share is entitled to one vote and is not convertible into Class B ordinary share under any circumstance; and each Class B ordinary share is entitled to twenty votes and will be automatically converted into one Class A ordinary share under certain circumstances.</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October 2024, the Company completed a follow-on public offering, issued 258,750,000 Class A ordinary shares for a total consideration of US$103.6 million after deducting the underwriting discounts and commissions and offering expenses.</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2,580,205,825 Class A ordinary shares and 97,611,722 Class B ordinary shares issued and outstanding,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November 8, 2022, Beijing Xiangshang, one of the Company’s consolidated VIE’s subsidiaries, issued 31,875,000 Series Angel redeemable preferred shares (“Series Angel preferred shares”) to external investors for an aggregate cash consideration of US$4,397,462, and US$4,356,074 proceeds were received upon the issuance. As of December 31, 2022, the outstanding US$43,496 was recorded as subscriptions receivable from redeemable non-controlling interests in the consolidated balance sheets. On March 20, 2023, the outstanding US$43,672 was received and transferred from subscriptions receivable to redeemable non-controlling interests in the consolidated balance sheets.</w:t>
      </w:r>
    </w:p>
    <w:p>
      <w:pPr>
        <w:spacing w:after="0" w:line="183"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On April 7, 2023, Beijing Xiangshang, issued 3,596,000 Series Pre-A redeemable preferred shares (“Series Pre-A preferred shares”) to external investors for an aggregate cash consideration of US$1,636,364.</w:t>
      </w:r>
    </w:p>
    <w:p>
      <w:pPr>
        <w:spacing w:after="0" w:line="162"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On March 10, 2025, Beijing Xiangshang, repurchased 3,596,000 Series Pre-A preferred shares from external investors for an aggregate cash consideration of US$1,865,173, which represented all of the issued and outstanding shares of Series Pre-A preferred shares. No shares of Series Pre-A preferred shares were issued and outstanding as of December 31, 2025.</w:t>
      </w:r>
    </w:p>
    <w:p>
      <w:pPr>
        <w:spacing w:after="0" w:line="176"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On October 24, 2025, Beijing Xiangshang, repurchased 6,250,000 Series Angel preferred shares from external investors for an aggregate cash consideration of US$1,165,382. The remaining 25,625,000 shares of Series Angel preferred shares were issued and outstanding as of December 31, 2025.</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Series Angel and Pre-A preferred shares, which are redeemable by Beijing Xiangshang upon occurrence of certain events, are recorded as mezzanine equity in the consolidated balance sheets and consist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Series Angel</w:t>
            </w: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Series Pre-A</w:t>
            </w:r>
          </w:p>
        </w:tc>
        <w:tc>
          <w:tcPr>
            <w:tcW w:w="158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30"/>
        </w:trPr>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preferred shares</w:t>
            </w:r>
          </w:p>
        </w:tc>
        <w:tc>
          <w:tcPr>
            <w:tcW w:w="1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preferred shares</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6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US$</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210"/>
        </w:trPr>
        <w:tc>
          <w:tcPr>
            <w:tcW w:w="6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5,007,271</w:t>
            </w:r>
          </w:p>
        </w:tc>
        <w:tc>
          <w:tcPr>
            <w:tcW w:w="22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1,699,389</w:t>
            </w:r>
          </w:p>
        </w:tc>
        <w:tc>
          <w:tcPr>
            <w:tcW w:w="2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6,706,660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Accretion of redeemable non-controlling interests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495,503</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168,166</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(143,843)</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(48,818)</w:t>
            </w: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(192,661)</w:t>
            </w:r>
          </w:p>
        </w:tc>
        <w:tc>
          <w:tcPr>
            <w:tcW w:w="0" w:type="dxa"/>
            <w:vAlign w:val="bottom"/>
          </w:tcPr>
          <w:p>
            <w:pPr>
              <w:spacing w:after="0"/>
              <w:rPr>
                <w:sz w:val="1"/>
                <w:szCs w:val="1"/>
                <w:color w:val="auto"/>
              </w:rPr>
            </w:pPr>
          </w:p>
        </w:tc>
      </w:tr>
      <w:tr>
        <w:trPr>
          <w:trHeight w:val="210"/>
        </w:trPr>
        <w:tc>
          <w:tcPr>
            <w:tcW w:w="636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5,358,931</w:t>
            </w:r>
          </w:p>
        </w:tc>
        <w:tc>
          <w:tcPr>
            <w:tcW w:w="220" w:type="dxa"/>
            <w:vAlign w:val="bottom"/>
            <w:tcBorders>
              <w:top w:val="single" w:sz="8" w:color="CFF0FC"/>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1,818,737</w:t>
            </w:r>
          </w:p>
        </w:tc>
        <w:tc>
          <w:tcPr>
            <w:tcW w:w="220" w:type="dxa"/>
            <w:vAlign w:val="bottom"/>
            <w:tcBorders>
              <w:top w:val="single" w:sz="8" w:color="CFF0FC"/>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7,177,668</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redeemable non-controlling interests</w:t>
            </w:r>
          </w:p>
        </w:tc>
        <w:tc>
          <w:tcPr>
            <w:tcW w:w="100" w:type="dxa"/>
            <w:vAlign w:val="bottom"/>
            <w:shd w:val="clear" w:color="auto" w:fill="CDF5FF"/>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524,955</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36,296</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561,251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227,974</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of preferred shares</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(1,165,382)</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(1,865,173)</w:t>
            </w: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(3,030,555)</w:t>
            </w:r>
          </w:p>
        </w:tc>
        <w:tc>
          <w:tcPr>
            <w:tcW w:w="0" w:type="dxa"/>
            <w:vAlign w:val="bottom"/>
          </w:tcPr>
          <w:p>
            <w:pPr>
              <w:spacing w:after="0"/>
              <w:rPr>
                <w:sz w:val="1"/>
                <w:szCs w:val="1"/>
                <w:color w:val="auto"/>
              </w:rPr>
            </w:pPr>
          </w:p>
        </w:tc>
      </w:tr>
      <w:tr>
        <w:trPr>
          <w:trHeight w:val="210"/>
        </w:trPr>
        <w:tc>
          <w:tcPr>
            <w:tcW w:w="636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4,946,478</w:t>
            </w:r>
          </w:p>
        </w:tc>
        <w:tc>
          <w:tcPr>
            <w:tcW w:w="220" w:type="dxa"/>
            <w:vAlign w:val="bottom"/>
            <w:tcBorders>
              <w:top w:val="single" w:sz="8" w:color="CFF0FC"/>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FF0FC"/>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4,946,478</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-762635</wp:posOffset>
            </wp:positionV>
            <wp:extent cx="6858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-762635</wp:posOffset>
            </wp:positionV>
            <wp:extent cx="6858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-762635</wp:posOffset>
            </wp:positionV>
            <wp:extent cx="7747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-170815</wp:posOffset>
            </wp:positionV>
            <wp:extent cx="6858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858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significant terms of the Series Angel and Pre-A preferred shares issued by Beijing Xiangshang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holders of preferred shares and ordinary shares shall vote together based on their shareholding ratio.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No dividend, whether in cash, in property or in shares of Beijing Xiangshang, shall be paid on any other shares, unless and until a preferential dividend in cash and/or share is, in advance, paid in full on each preferred share.</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Beijing Xiangshang decides to pay dividends, the preferred shares holders shall be entitled to receive non-cumulative dividends of 10% of the consideration that they paid for the equity interests. After receiving all non-cumulative dividends, the preferred shares holders shall be entitled to receive, on a pro rata basis, out of any funds legally available therefor, remaining undistributed dividends.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the event of liquidation, the preferred shares holder, shall be entitled to receive, prior to the holders of ordinary shares, the relevant amount.</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the event of insufficient funds available to pay in full the preference amount in respect of each preferred shares, the entire assets and funds of Beijing Xiangshang legally available for distribution to the holders of the preferred shares shall be distributed on a pro rata basis among the holders in proportion to issued price.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Rights</w:t>
      </w:r>
    </w:p>
    <w:p>
      <w:pPr>
        <w:spacing w:after="0" w:line="22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holder of the preferred shares may require that Beijing Xiangshang redeem any or all of the outstanding preferred shares held by the holder with redemption price calculated on the agreed terms, if Beijing Xiangshang fails to complete a Qualified IPO before June 30, 2028, or under other pre-agreed redemption events.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redemption price refers to the higher of the following:</w:t>
      </w:r>
    </w:p>
    <w:p>
      <w:pPr>
        <w:spacing w:after="0" w:line="225" w:lineRule="exact"/>
        <w:rPr>
          <w:sz w:val="20"/>
          <w:szCs w:val="20"/>
          <w:color w:val="auto"/>
        </w:rPr>
      </w:pPr>
    </w:p>
    <w:p>
      <w:pPr>
        <w:ind w:left="1260" w:right="6900" w:hanging="503"/>
        <w:spacing w:after="0" w:line="261" w:lineRule="auto"/>
        <w:tabs>
          <w:tab w:leader="none" w:pos="99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calculated by the following formula: A*P* (1+10%^N) + B; (see Note below)</w:t>
      </w:r>
    </w:p>
    <w:p>
      <w:pPr>
        <w:ind w:firstLine="757"/>
        <w:spacing w:after="0" w:line="260" w:lineRule="auto"/>
        <w:tabs>
          <w:tab w:leader="none" w:pos="101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value of the preferred shares to be redeemed which shall be determined by the audited net asset value of Beijing Xiangshang’s most recent quarter-end consolidated financial statements</w:t>
      </w:r>
    </w:p>
    <w:p>
      <w:pPr>
        <w:spacing w:after="0" w:line="18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Note: In the formula above, A refers to the shares to be redeemed; P refers to corresponding original purchase price per share; N refers to the result calculated by dividing the days from the date the issuance of preferred shares to the completion of the redemption by 365; B refers to the profits declared but yet to be distributed with respect to the preferred shares to be redeemed.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82" w:lineRule="exact"/>
        <w:rPr>
          <w:sz w:val="20"/>
          <w:szCs w:val="20"/>
          <w:color w:val="auto"/>
        </w:rPr>
      </w:pPr>
    </w:p>
    <w:p>
      <w:pPr>
        <w:ind w:left="440" w:hanging="432"/>
        <w:spacing w:after="0"/>
        <w:tabs>
          <w:tab w:leader="none" w:pos="4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Measured at fair value on a recurring basis</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Company measures financial instruments held, at fair value, cash and cash equivalents, crypto assets held, and long-term available-for-sale securities, on a recurring basis.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Most of the Company’s financial instruments held, at fair value are classified as Level 1 since their fair value are determined based on the quoted market price. Some of the Company’s financial instruments held, at fair value that are valued at quoted prices in less active markets are classified as Level 2. Investments in private equity funds are categorized as Level 3 since they are valued utilizing third-party pricing information without adjustment.</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classified its money market funds, which are presented in cash and cash equivalents due to high liquidity to be convertible to known amounts of cash and near maturity that they present insignificant risk of changes in value, as Level 1 since their fair value are determined based on the quoted market price.</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Crypto assets owned by the Group are presented in crypto assets held and classified as Level 1 since their fair value are determined based on the quoted market price.</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Group measured the fair value of its long-term available-for-sale securities using a market approach and considered those as Level 3 measurement because the Group used unobservable inputs to determine their fair values. The unobservable inputs used were discounts for lack of marketability for such market approach (ranging from 15% to 20%), and the observable inputs used were risk-free interest rates (ranging from 3.5% to 4.5%), as of December 31, 2024 and 2025. Significant increases or decreases in any of those inputs in isolation would result in a significant change in fair value measurement.</w:t>
      </w:r>
    </w:p>
    <w:p>
      <w:pPr>
        <w:spacing w:after="0" w:line="183"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and 2025, information about inputs for the fair value measurements of the Group’s assets that were measured at fair value on a recurring basis in periods subsequent to their initial recognition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3"/>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20" w:type="dxa"/>
            <w:vAlign w:val="bottom"/>
          </w:tcPr>
          <w:p>
            <w:pPr>
              <w:spacing w:after="0"/>
              <w:rPr>
                <w:sz w:val="10"/>
                <w:szCs w:val="10"/>
                <w:color w:val="auto"/>
              </w:rPr>
            </w:pPr>
          </w:p>
        </w:tc>
        <w:tc>
          <w:tcPr>
            <w:tcW w:w="21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15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220" w:type="dxa"/>
            <w:vAlign w:val="bottom"/>
          </w:tcPr>
          <w:p>
            <w:pPr>
              <w:spacing w:after="0"/>
              <w:rPr>
                <w:sz w:val="10"/>
                <w:szCs w:val="10"/>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820" w:type="dxa"/>
            <w:vAlign w:val="bottom"/>
          </w:tcPr>
          <w:p>
            <w:pPr>
              <w:spacing w:after="0"/>
              <w:rPr>
                <w:sz w:val="5"/>
                <w:szCs w:val="5"/>
                <w:color w:val="auto"/>
              </w:rPr>
            </w:pPr>
          </w:p>
        </w:tc>
        <w:tc>
          <w:tcPr>
            <w:tcW w:w="21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5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 (Level</w:t>
            </w:r>
          </w:p>
        </w:tc>
        <w:tc>
          <w:tcPr>
            <w:tcW w:w="2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700" w:type="dxa"/>
            <w:vAlign w:val="bottom"/>
            <w:gridSpan w:val="2"/>
            <w:vMerge w:val="restart"/>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Total balance</w:t>
            </w: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2120" w:type="dxa"/>
            <w:vAlign w:val="bottom"/>
            <w:gridSpan w:val="2"/>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22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820" w:type="dxa"/>
            <w:vAlign w:val="bottom"/>
          </w:tcPr>
          <w:p>
            <w:pPr>
              <w:spacing w:after="0"/>
              <w:rPr>
                <w:sz w:val="9"/>
                <w:szCs w:val="9"/>
                <w:color w:val="auto"/>
              </w:rPr>
            </w:pPr>
          </w:p>
        </w:tc>
        <w:tc>
          <w:tcPr>
            <w:tcW w:w="2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instruments (Level 1)</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820" w:type="dxa"/>
            <w:vAlign w:val="bottom"/>
          </w:tcPr>
          <w:p>
            <w:pPr>
              <w:spacing w:after="0"/>
              <w:rPr>
                <w:sz w:val="5"/>
                <w:szCs w:val="5"/>
                <w:color w:val="auto"/>
              </w:rPr>
            </w:pPr>
          </w:p>
        </w:tc>
        <w:tc>
          <w:tcPr>
            <w:tcW w:w="2120" w:type="dxa"/>
            <w:vAlign w:val="bottom"/>
            <w:gridSpan w:val="2"/>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0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58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instruments held, at fair value</w:t>
            </w: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841,089</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8,586,698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3,292,073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12,719,860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Bonds</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69,492,657</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69,492,657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3,329,111</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3,329,111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71,339,317</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71,339,317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Crypto assets held</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4,339,298</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4,339,298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available-for-sale securities</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6,617,773</w:t>
            </w:r>
          </w:p>
        </w:tc>
        <w:tc>
          <w:tcPr>
            <w:tcW w:w="2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6,617,773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149,341,472</w:t>
            </w:r>
          </w:p>
        </w:tc>
        <w:tc>
          <w:tcPr>
            <w:tcW w:w="2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8,586,698</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9,909,846</w:t>
            </w:r>
          </w:p>
        </w:tc>
        <w:tc>
          <w:tcPr>
            <w:tcW w:w="22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167,838,016</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3820" w:type="dxa"/>
            <w:vAlign w:val="bottom"/>
          </w:tcPr>
          <w:p>
            <w:pPr>
              <w:spacing w:after="0"/>
              <w:rPr>
                <w:sz w:val="24"/>
                <w:szCs w:val="24"/>
                <w:color w:val="auto"/>
              </w:rPr>
            </w:pPr>
          </w:p>
        </w:tc>
        <w:tc>
          <w:tcPr>
            <w:tcW w:w="21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F-42</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-933450</wp:posOffset>
            </wp:positionV>
            <wp:extent cx="6858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-916305</wp:posOffset>
            </wp:positionV>
            <wp:extent cx="6858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-933450</wp:posOffset>
            </wp:positionV>
            <wp:extent cx="6858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-916305</wp:posOffset>
            </wp:positionV>
            <wp:extent cx="6858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-933450</wp:posOffset>
            </wp:positionV>
            <wp:extent cx="6858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-916305</wp:posOffset>
            </wp:positionV>
            <wp:extent cx="6858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Measured at fair value on a recurring basis (Continued)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1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220" w:type="dxa"/>
            <w:vAlign w:val="bottom"/>
          </w:tcPr>
          <w:p>
            <w:pPr>
              <w:spacing w:after="0"/>
              <w:rPr>
                <w:sz w:val="10"/>
                <w:szCs w:val="10"/>
                <w:color w:val="auto"/>
              </w:rPr>
            </w:pPr>
          </w:p>
        </w:tc>
        <w:tc>
          <w:tcPr>
            <w:tcW w:w="1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220" w:type="dxa"/>
            <w:vAlign w:val="bottom"/>
          </w:tcPr>
          <w:p>
            <w:pPr>
              <w:spacing w:after="0"/>
              <w:rPr>
                <w:sz w:val="10"/>
                <w:szCs w:val="10"/>
                <w:color w:val="auto"/>
              </w:rPr>
            </w:pPr>
          </w:p>
        </w:tc>
        <w:tc>
          <w:tcPr>
            <w:tcW w:w="2100" w:type="dxa"/>
            <w:vAlign w:val="bottom"/>
            <w:gridSpan w:val="4"/>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860" w:type="dxa"/>
            <w:vAlign w:val="bottom"/>
          </w:tcPr>
          <w:p>
            <w:pPr>
              <w:spacing w:after="0"/>
              <w:rPr>
                <w:sz w:val="5"/>
                <w:szCs w:val="5"/>
                <w:color w:val="auto"/>
              </w:rPr>
            </w:pPr>
          </w:p>
        </w:tc>
        <w:tc>
          <w:tcPr>
            <w:tcW w:w="18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20" w:type="dxa"/>
            <w:vAlign w:val="bottom"/>
          </w:tcPr>
          <w:p>
            <w:pPr>
              <w:spacing w:after="0"/>
              <w:rPr>
                <w:sz w:val="5"/>
                <w:szCs w:val="5"/>
                <w:color w:val="auto"/>
              </w:rPr>
            </w:pPr>
          </w:p>
        </w:tc>
        <w:tc>
          <w:tcPr>
            <w:tcW w:w="15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 (Level</w:t>
            </w:r>
          </w:p>
        </w:tc>
        <w:tc>
          <w:tcPr>
            <w:tcW w:w="220" w:type="dxa"/>
            <w:vAlign w:val="bottom"/>
          </w:tcPr>
          <w:p>
            <w:pPr>
              <w:spacing w:after="0"/>
              <w:rPr>
                <w:sz w:val="5"/>
                <w:szCs w:val="5"/>
                <w:color w:val="auto"/>
              </w:rPr>
            </w:pPr>
          </w:p>
        </w:tc>
        <w:tc>
          <w:tcPr>
            <w:tcW w:w="2100" w:type="dxa"/>
            <w:vAlign w:val="bottom"/>
            <w:gridSpan w:val="4"/>
            <w:vMerge w:val="continue"/>
          </w:tcPr>
          <w:p>
            <w:pPr>
              <w:spacing w:after="0"/>
              <w:rPr>
                <w:sz w:val="5"/>
                <w:szCs w:val="5"/>
                <w:color w:val="auto"/>
              </w:rPr>
            </w:pPr>
          </w:p>
        </w:tc>
        <w:tc>
          <w:tcPr>
            <w:tcW w:w="142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Total balance</w:t>
            </w:r>
          </w:p>
        </w:tc>
        <w:tc>
          <w:tcPr>
            <w:tcW w:w="0" w:type="dxa"/>
            <w:vAlign w:val="bottom"/>
          </w:tcPr>
          <w:p>
            <w:pPr>
              <w:spacing w:after="0"/>
              <w:rPr>
                <w:sz w:val="1"/>
                <w:szCs w:val="1"/>
                <w:color w:val="auto"/>
              </w:rPr>
            </w:pPr>
          </w:p>
        </w:tc>
      </w:tr>
      <w:tr>
        <w:trPr>
          <w:trHeight w:val="81"/>
        </w:trPr>
        <w:tc>
          <w:tcPr>
            <w:tcW w:w="386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100" w:type="dxa"/>
            <w:vAlign w:val="bottom"/>
            <w:gridSpan w:val="4"/>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860" w:type="dxa"/>
            <w:vAlign w:val="bottom"/>
          </w:tcPr>
          <w:p>
            <w:pPr>
              <w:spacing w:after="0"/>
              <w:rPr>
                <w:sz w:val="9"/>
                <w:szCs w:val="9"/>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instruments (Level 1)</w:t>
            </w:r>
          </w:p>
        </w:tc>
        <w:tc>
          <w:tcPr>
            <w:tcW w:w="1800" w:type="dxa"/>
            <w:vAlign w:val="bottom"/>
            <w:gridSpan w:val="2"/>
            <w:vMerge w:val="restart"/>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9"/>
                <w:szCs w:val="9"/>
                <w:color w:val="auto"/>
              </w:rPr>
            </w:pPr>
          </w:p>
        </w:tc>
        <w:tc>
          <w:tcPr>
            <w:tcW w:w="2100" w:type="dxa"/>
            <w:vAlign w:val="bottom"/>
            <w:gridSpan w:val="4"/>
            <w:vMerge w:val="continue"/>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86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1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6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instruments held, at fair value</w:t>
            </w:r>
          </w:p>
        </w:tc>
        <w:tc>
          <w:tcPr>
            <w:tcW w:w="1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2,691,097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11,770,376</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3,692,505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18,153,978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Bonds</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54,418,366</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54,418,366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2,270,679</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2,270,679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Others</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704,059</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Funds</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4,023,182</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4,023,182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available-for-sale securities</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4,410,382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4,410,382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64,107,383</w:t>
            </w:r>
          </w:p>
        </w:tc>
        <w:tc>
          <w:tcPr>
            <w:tcW w:w="22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11,770,376</w:t>
            </w:r>
          </w:p>
        </w:tc>
        <w:tc>
          <w:tcPr>
            <w:tcW w:w="22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8,102,887</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83,980,646</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9820" w:type="dxa"/>
            <w:vAlign w:val="bottom"/>
            <w:gridSpan w:val="9"/>
          </w:tcPr>
          <w:p>
            <w:pPr>
              <w:ind w:left="760"/>
              <w:spacing w:after="0"/>
              <w:rPr>
                <w:sz w:val="20"/>
                <w:szCs w:val="20"/>
                <w:color w:val="auto"/>
              </w:rPr>
            </w:pPr>
            <w:r>
              <w:rPr>
                <w:rFonts w:ascii="Times New Roman" w:cs="Times New Roman" w:eastAsia="Times New Roman" w:hAnsi="Times New Roman"/>
                <w:sz w:val="18"/>
                <w:szCs w:val="18"/>
                <w:color w:val="auto"/>
              </w:rPr>
              <w:t>During the years ended December 31, 2024 and 2025, there were no transfers between level 1, level 2 and level 3 categories.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20" w:type="dxa"/>
            <w:vAlign w:val="bottom"/>
            <w:gridSpan w:val="9"/>
          </w:tcPr>
          <w:p>
            <w:pPr>
              <w:ind w:left="760"/>
              <w:spacing w:after="0"/>
              <w:rPr>
                <w:sz w:val="20"/>
                <w:szCs w:val="20"/>
                <w:color w:val="auto"/>
              </w:rPr>
            </w:pPr>
            <w:r>
              <w:rPr>
                <w:rFonts w:ascii="Times New Roman" w:cs="Times New Roman" w:eastAsia="Times New Roman" w:hAnsi="Times New Roman"/>
                <w:sz w:val="18"/>
                <w:szCs w:val="18"/>
                <w:color w:val="auto"/>
              </w:rPr>
              <w:t>The movements of Level 3 fair value measurements for the years ended December 31, 2024 and 2025 are as follows: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As of January 1, 2024</w:t>
            </w:r>
          </w:p>
        </w:tc>
        <w:tc>
          <w:tcPr>
            <w:tcW w:w="1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7,501,930</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during the year</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unrealized gain</w:t>
            </w:r>
          </w:p>
        </w:tc>
        <w:tc>
          <w:tcPr>
            <w:tcW w:w="18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600,957</w:t>
            </w:r>
          </w:p>
        </w:tc>
        <w:tc>
          <w:tcPr>
            <w:tcW w:w="0" w:type="dxa"/>
            <w:vAlign w:val="bottom"/>
          </w:tcPr>
          <w:p>
            <w:pPr>
              <w:spacing w:after="0"/>
              <w:rPr>
                <w:sz w:val="1"/>
                <w:szCs w:val="1"/>
                <w:color w:val="auto"/>
              </w:rPr>
            </w:pPr>
          </w:p>
        </w:tc>
      </w:tr>
      <w:tr>
        <w:trPr>
          <w:trHeight w:val="210"/>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December 31, 2024</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8,102,887</w:t>
            </w:r>
          </w:p>
        </w:tc>
        <w:tc>
          <w:tcPr>
            <w:tcW w:w="0" w:type="dxa"/>
            <w:vAlign w:val="bottom"/>
          </w:tcPr>
          <w:p>
            <w:pPr>
              <w:spacing w:after="0"/>
              <w:rPr>
                <w:sz w:val="1"/>
                <w:szCs w:val="1"/>
                <w:color w:val="auto"/>
              </w:rPr>
            </w:pPr>
          </w:p>
        </w:tc>
      </w:tr>
      <w:tr>
        <w:trPr>
          <w:trHeight w:val="209"/>
        </w:trPr>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Additions during the year</w:t>
            </w:r>
          </w:p>
        </w:tc>
        <w:tc>
          <w:tcPr>
            <w:tcW w:w="1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gain</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1,806,959</w:t>
            </w:r>
          </w:p>
        </w:tc>
        <w:tc>
          <w:tcPr>
            <w:tcW w:w="0" w:type="dxa"/>
            <w:vAlign w:val="bottom"/>
          </w:tcPr>
          <w:p>
            <w:pPr>
              <w:spacing w:after="0"/>
              <w:rPr>
                <w:sz w:val="1"/>
                <w:szCs w:val="1"/>
                <w:color w:val="auto"/>
              </w:rPr>
            </w:pPr>
          </w:p>
        </w:tc>
      </w:tr>
      <w:tr>
        <w:trPr>
          <w:trHeight w:val="249"/>
        </w:trPr>
        <w:tc>
          <w:tcPr>
            <w:tcW w:w="38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As of December 31, 2025</w:t>
            </w:r>
          </w:p>
        </w:tc>
        <w:tc>
          <w:tcPr>
            <w:tcW w:w="18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9,909,846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-1722755</wp:posOffset>
            </wp:positionV>
            <wp:extent cx="6858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-1704975</wp:posOffset>
            </wp:positionV>
            <wp:extent cx="6858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-1722755</wp:posOffset>
            </wp:positionV>
            <wp:extent cx="6858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-1704975</wp:posOffset>
            </wp:positionV>
            <wp:extent cx="6858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-1722755</wp:posOffset>
            </wp:positionV>
            <wp:extent cx="6858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-1704975</wp:posOffset>
            </wp:positionV>
            <wp:extent cx="6858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-1722755</wp:posOffset>
            </wp:positionV>
            <wp:extent cx="7747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-1704975</wp:posOffset>
            </wp:positionV>
            <wp:extent cx="7747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805"/>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the net unrealized gain included US$343,892 recognized in other comprehensive income (loss) in the consolidated statements of comprehensive income, and US$257,065 recognized in other income in the consolidated statements of comprehensive income. For the year ended December 31, 2025, the net unrealized gain included US$2,207,391 recognized in other comprehensive income in the consolidated statements of comprehensive income, while partially offset by unrealized loss US$400,432 recognized in other income in the consolidated statements of comprehensive income. The Group recognized nil impairment loss related to the long-term available-for-sale securities as other income (expense) for the years ended December 31, 2023, 2024 and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(Continued)</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Measured at fair value on a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1521460</wp:posOffset>
            </wp:positionH>
            <wp:positionV relativeFrom="paragraph">
              <wp:posOffset>-43815</wp:posOffset>
            </wp:positionV>
            <wp:extent cx="64135" cy="3937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9">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4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Group measures the equity securities without readily determinable fair value at fair value on a nonrecurring basis whenever there is an impairment indicator or any changes resulting from observable price changes in orderly transactions for the identical or a similar investment of the same issuer. The Group recorded nil and US$ 200,237 impairment loss related to the long-term equity securities without readily determinable fair value for the years ended December 31, 2024 and 2025.</w:t>
      </w:r>
    </w:p>
    <w:p>
      <w:pPr>
        <w:spacing w:after="0" w:line="180" w:lineRule="exact"/>
        <w:rPr>
          <w:sz w:val="20"/>
          <w:szCs w:val="20"/>
          <w:color w:val="auto"/>
        </w:rPr>
      </w:pPr>
    </w:p>
    <w:p>
      <w:pPr>
        <w:jc w:val="both"/>
        <w:ind w:firstLine="749"/>
        <w:spacing w:after="0" w:line="219" w:lineRule="exact"/>
        <w:rPr>
          <w:sz w:val="20"/>
          <w:szCs w:val="20"/>
          <w:color w:val="auto"/>
        </w:rPr>
      </w:pPr>
      <w:r>
        <w:rPr>
          <w:rFonts w:ascii="Times New Roman" w:cs="Times New Roman" w:eastAsia="Times New Roman" w:hAnsi="Times New Roman"/>
          <w:sz w:val="18"/>
          <w:szCs w:val="18"/>
          <w:color w:val="auto"/>
        </w:rPr>
        <w:t>The Group performs a goodwill impairment test annually or more often if event occur or circumstances change that would more likely than not reduce the fair value of a reporting unit below its carry amount. The Group did not recognize any impairment loss related to goodwill during the years ended December 31, 2024 and 2025. The Group measured acquired intangible assets using the income approach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discounted cash flow method when events or changes in circumstances indicate that the carrying amount of an asset may no longer be recoverable. The Group did not recognize any impairment loss related to other intangible assets arising from acquisitions during the years ended December 31, 2024 and 2025. Key inputs and parameters primarily for the above impairment assessment include significant judgment and estimates by the management on future earnings, and discount rate.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29" w:lineRule="exact"/>
        <w:rPr>
          <w:sz w:val="20"/>
          <w:szCs w:val="20"/>
          <w:color w:val="auto"/>
        </w:rPr>
      </w:pPr>
    </w:p>
    <w:p>
      <w:pPr>
        <w:ind w:left="440" w:hanging="432"/>
        <w:spacing w:after="0" w:line="207" w:lineRule="exact"/>
        <w:tabs>
          <w:tab w:leader="none" w:pos="4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26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Group implemented a share incentive plan in June 2014 (the “2014 Plan”) which allows the Group to grant options and restricted share units to employees, directors and consultants of the Group. Under the 2014 Plan, the maximum aggregate number of shares that may be issued shall not exceed 187,697,314 ordinary shares.</w:t>
      </w:r>
    </w:p>
    <w:p>
      <w:pPr>
        <w:spacing w:after="0" w:line="135" w:lineRule="exact"/>
        <w:rPr>
          <w:sz w:val="20"/>
          <w:szCs w:val="20"/>
          <w:color w:val="auto"/>
        </w:rPr>
      </w:pPr>
    </w:p>
    <w:p>
      <w:pPr>
        <w:jc w:val="both"/>
        <w:ind w:firstLine="749"/>
        <w:spacing w:after="0" w:line="226" w:lineRule="exact"/>
        <w:rPr>
          <w:sz w:val="20"/>
          <w:szCs w:val="20"/>
          <w:color w:val="auto"/>
        </w:rPr>
      </w:pPr>
      <w:r>
        <w:rPr>
          <w:rFonts w:ascii="Times New Roman" w:cs="Times New Roman" w:eastAsia="Times New Roman" w:hAnsi="Times New Roman"/>
          <w:sz w:val="18"/>
          <w:szCs w:val="18"/>
          <w:color w:val="auto"/>
        </w:rPr>
        <w:t>In relation with the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domiciliation, the Company adopted the 2018 share incentive plan, which was approved by the board of directors of the Company to replace the previous 2014 share incentive plan created in June 2014. The terms of the 2018 share incentive plan are substantially the same as those under the 2014 share incentive plan, except that the number of options and restricted share units and exercise price were adjusted on a diluted basis in accordance to the shares number of the Company upon the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domiciliation. The awards granted and outstanding under the 2014 share incentive plan survived and remained effective and binding under the 2018 share incentive plan. In December 2018, the Board of Directors of the Company approved to expand the aggregate number of shares that may be issued to not exceed 254,697,314 ordinary shares.</w:t>
      </w:r>
    </w:p>
    <w:p>
      <w:pPr>
        <w:spacing w:after="0" w:line="20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In March 2019, the Group implemented the 2019 Performance Incentive Plan (the “2019 Plan”), which was approved by the board of directors of the Company to grant a maximum number of 52,000,000 ordinary shares under the 2019 Plan.</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December 2020, 10,429,305 treasury stock repurchased under the Share Repurchase Program were approved by the board of directors of the Company to increase the shares issuable under 2019 Plan from 52,000,000 shares to 62,429,305 shares.</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September 2021, 36,534,435 Class A ordinary shares issued under the evergreen plan were approved by the board of directors of the Company to increase the award pool under 2019 Plan from 62,429,305 shares to 98,963,740 shares.</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January 2023, 34,918,695 Class A ordinary shares issued under the evergreen plan were approved by the board of directors of the Company to increase the award pool under 2019 Plan from 98,963,740 shares to 133,882,435 shares.</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June 2024, 37,606,230 Class A ordinary shares issued under the evergreen plan were approved by the board of directors of the Company to increase the award pool under 2019 Plan from 133,882,435 shares to 171,488,665 shares.</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In October 2025, 42,051,570 Class A ordinary shares issued under the evergreen plan were approved by the board of directors of the Company to increase the award pool under 2019 Plan from 171,488,665 shares to 213,540,235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options</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Company has granted service-based share options, which vest and become exercisable in three installments, with 50% of the total number of ordinary shares subject to such option becoming vested and exercisable on the second anniversary of the vesting commencement date, and 25% becoming vested and exercisable on each of the third and fourth anniversary of the vesting commencement date. The grant date of the share options is the vesting commencement date. The Company also has granted performance-based share options with performance conditions included semi-annual performance results and operating and financial results of the Company. The performance-based share options will commence to vest once the performance conditions are satisfied. Upon termination of employment, all the options that have not been vested will be forfeited. The terms of the options shall not exceed ten years from the date of grant. In addition, the Company has the right to purchase:</w:t>
      </w:r>
    </w:p>
    <w:p>
      <w:pPr>
        <w:spacing w:after="0" w:line="189" w:lineRule="exact"/>
        <w:rPr>
          <w:sz w:val="20"/>
          <w:szCs w:val="20"/>
          <w:color w:val="auto"/>
        </w:rPr>
      </w:pPr>
    </w:p>
    <w:p>
      <w:pPr>
        <w:ind w:left="760" w:hanging="365"/>
        <w:spacing w:after="0" w:line="282" w:lineRule="auto"/>
        <w:tabs>
          <w:tab w:leader="none" w:pos="75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for death, disability or retirement, the employees’ vested and/or exercised options at a price of 50% of the fair market value as of the latest practicable date prior to the termination, within 6 months from the employees’ termination;</w:t>
      </w:r>
    </w:p>
    <w:p>
      <w:pPr>
        <w:spacing w:after="0" w:line="161" w:lineRule="exact"/>
        <w:rPr>
          <w:rFonts w:ascii="Times New Roman" w:cs="Times New Roman" w:eastAsia="Times New Roman" w:hAnsi="Times New Roman"/>
          <w:sz w:val="18"/>
          <w:szCs w:val="18"/>
          <w:color w:val="auto"/>
        </w:rPr>
      </w:pPr>
    </w:p>
    <w:p>
      <w:pPr>
        <w:ind w:left="760" w:right="20" w:hanging="365"/>
        <w:spacing w:after="0" w:line="282" w:lineRule="auto"/>
        <w:tabs>
          <w:tab w:leader="none" w:pos="75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dismissal for cause, all the employees’ vested and/or exercised option at a purchase price equals to the exercise price the employees paid to the Company;</w:t>
      </w:r>
    </w:p>
    <w:p>
      <w:pPr>
        <w:spacing w:after="0" w:line="161" w:lineRule="exact"/>
        <w:rPr>
          <w:rFonts w:ascii="Times New Roman" w:cs="Times New Roman" w:eastAsia="Times New Roman" w:hAnsi="Times New Roman"/>
          <w:sz w:val="18"/>
          <w:szCs w:val="18"/>
          <w:color w:val="auto"/>
        </w:rPr>
      </w:pPr>
    </w:p>
    <w:p>
      <w:pPr>
        <w:ind w:left="760" w:hanging="365"/>
        <w:spacing w:after="0" w:line="282" w:lineRule="auto"/>
        <w:tabs>
          <w:tab w:leader="none" w:pos="75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other terminations of employment, the employees’ vested and/or exercised option at a price of 30% of the fair market value as of the latest practicable date prior to the termination, within 6 months from the employees’ termination.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29" w:lineRule="exact"/>
        <w:rPr>
          <w:sz w:val="20"/>
          <w:szCs w:val="20"/>
          <w:color w:val="auto"/>
        </w:rPr>
      </w:pPr>
    </w:p>
    <w:p>
      <w:pPr>
        <w:ind w:left="440" w:hanging="432"/>
        <w:spacing w:after="0" w:line="207" w:lineRule="exact"/>
        <w:tabs>
          <w:tab w:leader="none" w:pos="4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 (Continued)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options (Continued)</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the terms permit the Company to purchase these share options at an amount that is equal to or less than the fair value, the Company evaluates the classification for each award upon the occurrence of each employment termination. The termination of employees has been insignificant for all periods presented. As of December 31, 2024 and 2025, the share option award is classified as equity.</w:t>
      </w:r>
    </w:p>
    <w:p>
      <w:pPr>
        <w:spacing w:after="0" w:line="135" w:lineRule="exact"/>
        <w:rPr>
          <w:sz w:val="20"/>
          <w:szCs w:val="20"/>
          <w:color w:val="auto"/>
        </w:rPr>
      </w:pPr>
    </w:p>
    <w:p>
      <w:pPr>
        <w:jc w:val="both"/>
        <w:ind w:firstLine="749"/>
        <w:spacing w:after="0" w:line="231" w:lineRule="exact"/>
        <w:rPr>
          <w:sz w:val="20"/>
          <w:szCs w:val="20"/>
          <w:color w:val="auto"/>
        </w:rPr>
      </w:pPr>
      <w:r>
        <w:rPr>
          <w:rFonts w:ascii="Times New Roman" w:cs="Times New Roman" w:eastAsia="Times New Roman" w:hAnsi="Times New Roman"/>
          <w:sz w:val="18"/>
          <w:szCs w:val="18"/>
          <w:color w:val="auto"/>
        </w:rPr>
        <w:t>The Group calculated the estimated fair value of the options on the respective grant dates using the binomial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lattice option valuation model with the following assumptions for each applicable period which took into account variables such as volatility, dividend yield, and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the probability that the option will be exercised prior to the end of its contractual life, and the probability of termination or retirement of the option holder in computing the value of the option.</w:t>
      </w:r>
    </w:p>
    <w:p>
      <w:pPr>
        <w:spacing w:after="0" w:line="200" w:lineRule="exact"/>
        <w:rPr>
          <w:sz w:val="20"/>
          <w:szCs w:val="20"/>
          <w:color w:val="auto"/>
        </w:rPr>
      </w:pPr>
    </w:p>
    <w:p>
      <w:pPr>
        <w:jc w:val="both"/>
        <w:ind w:firstLine="749"/>
        <w:spacing w:after="0" w:line="239" w:lineRule="exact"/>
        <w:rPr>
          <w:sz w:val="20"/>
          <w:szCs w:val="20"/>
          <w:color w:val="auto"/>
        </w:rPr>
      </w:pPr>
      <w:r>
        <w:rPr>
          <w:rFonts w:ascii="Times New Roman" w:cs="Times New Roman" w:eastAsia="Times New Roman" w:hAnsi="Times New Roman"/>
          <w:sz w:val="18"/>
          <w:szCs w:val="18"/>
          <w:color w:val="auto"/>
        </w:rPr>
        <w:t>The fair value of the options granted was estimated on the date of grant that prepared by the management with the assistance of an independent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appraiser, and was determined using a binomial model with the following assumptions: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16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Fair value per ordinary</w:t>
            </w:r>
          </w:p>
        </w:tc>
        <w:tc>
          <w:tcPr>
            <w:tcW w:w="1760" w:type="dxa"/>
            <w:vAlign w:val="bottom"/>
            <w:gridSpan w:val="2"/>
          </w:tcPr>
          <w:p>
            <w:pPr>
              <w:jc w:val="right"/>
              <w:ind w:right="308"/>
              <w:spacing w:after="0"/>
              <w:rPr>
                <w:sz w:val="20"/>
                <w:szCs w:val="20"/>
                <w:color w:val="auto"/>
              </w:rPr>
            </w:pPr>
            <w:r>
              <w:rPr>
                <w:rFonts w:ascii="Times New Roman" w:cs="Times New Roman" w:eastAsia="Times New Roman" w:hAnsi="Times New Roman"/>
                <w:sz w:val="10"/>
                <w:szCs w:val="10"/>
                <w:b w:val="1"/>
                <w:bCs w:val="1"/>
                <w:color w:val="auto"/>
              </w:rPr>
              <w:t>(2)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(3)</w:t>
            </w:r>
          </w:p>
        </w:tc>
        <w:tc>
          <w:tcPr>
            <w:tcW w:w="146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(4)</w:t>
            </w:r>
          </w:p>
        </w:tc>
        <w:tc>
          <w:tcPr>
            <w:tcW w:w="200" w:type="dxa"/>
            <w:vAlign w:val="bottom"/>
          </w:tcPr>
          <w:p>
            <w:pPr>
              <w:spacing w:after="0"/>
              <w:rPr>
                <w:sz w:val="13"/>
                <w:szCs w:val="13"/>
                <w:color w:val="auto"/>
              </w:rPr>
            </w:pP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Risk-free interest</w:t>
            </w:r>
          </w:p>
        </w:tc>
        <w:tc>
          <w:tcPr>
            <w:tcW w:w="120" w:type="dxa"/>
            <w:vAlign w:val="bottom"/>
          </w:tcPr>
          <w:p>
            <w:pPr>
              <w:spacing w:after="0"/>
              <w:rPr>
                <w:sz w:val="13"/>
                <w:szCs w:val="13"/>
                <w:color w:val="auto"/>
              </w:rPr>
            </w:pPr>
          </w:p>
        </w:tc>
        <w:tc>
          <w:tcPr>
            <w:tcW w:w="13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Expected</w:t>
            </w:r>
          </w:p>
        </w:tc>
      </w:tr>
      <w:tr>
        <w:trPr>
          <w:trHeight w:val="175"/>
        </w:trPr>
        <w:tc>
          <w:tcPr>
            <w:tcW w:w="1940" w:type="dxa"/>
            <w:vAlign w:val="bottom"/>
          </w:tcPr>
          <w:p>
            <w:pPr>
              <w:spacing w:after="0"/>
              <w:rPr>
                <w:sz w:val="15"/>
                <w:szCs w:val="15"/>
                <w:color w:val="auto"/>
              </w:rPr>
            </w:pPr>
          </w:p>
        </w:tc>
        <w:tc>
          <w:tcPr>
            <w:tcW w:w="1640" w:type="dxa"/>
            <w:vAlign w:val="bottom"/>
            <w:tcBorders>
              <w:bottom w:val="single" w:sz="8" w:color="auto"/>
            </w:tcBorders>
          </w:tcPr>
          <w:p>
            <w:pPr>
              <w:jc w:val="right"/>
              <w:ind w:right="155"/>
              <w:spacing w:after="0" w:line="175" w:lineRule="exact"/>
              <w:rPr>
                <w:sz w:val="20"/>
                <w:szCs w:val="20"/>
                <w:color w:val="auto"/>
              </w:rPr>
            </w:pPr>
            <w:r>
              <w:rPr>
                <w:rFonts w:ascii="Times New Roman" w:cs="Times New Roman" w:eastAsia="Times New Roman" w:hAnsi="Times New Roman"/>
                <w:sz w:val="14"/>
                <w:szCs w:val="14"/>
                <w:b w:val="1"/>
                <w:bCs w:val="1"/>
                <w:color w:val="auto"/>
              </w:rPr>
              <w:t>share at grant date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Expected volatility</w:t>
            </w:r>
          </w:p>
        </w:tc>
        <w:tc>
          <w:tcPr>
            <w:tcW w:w="180" w:type="dxa"/>
            <w:vAlign w:val="bottom"/>
          </w:tcPr>
          <w:p>
            <w:pPr>
              <w:spacing w:after="0"/>
              <w:rPr>
                <w:sz w:val="15"/>
                <w:szCs w:val="15"/>
                <w:color w:val="auto"/>
              </w:rPr>
            </w:pPr>
          </w:p>
        </w:tc>
        <w:tc>
          <w:tcPr>
            <w:tcW w:w="1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right"/>
              <w:ind w:right="408"/>
              <w:spacing w:after="0" w:line="175" w:lineRule="exact"/>
              <w:rPr>
                <w:sz w:val="20"/>
                <w:szCs w:val="20"/>
                <w:color w:val="auto"/>
              </w:rPr>
            </w:pPr>
            <w:r>
              <w:rPr>
                <w:rFonts w:ascii="Times New Roman" w:cs="Times New Roman" w:eastAsia="Times New Roman" w:hAnsi="Times New Roman"/>
                <w:sz w:val="14"/>
                <w:szCs w:val="14"/>
                <w:b w:val="1"/>
                <w:bCs w:val="1"/>
                <w:color w:val="auto"/>
              </w:rPr>
              <w:t>rate</w:t>
            </w:r>
            <w:r>
              <w:rPr>
                <w:rFonts w:ascii="Times New Roman" w:cs="Times New Roman" w:eastAsia="Times New Roman" w:hAnsi="Times New Roman"/>
                <w:sz w:val="19"/>
                <w:szCs w:val="19"/>
                <w:b w:val="1"/>
                <w:bCs w:val="1"/>
                <w:color w:val="auto"/>
                <w:vertAlign w:val="superscript"/>
              </w:rPr>
              <w:t>(5)</w:t>
            </w: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right"/>
              <w:ind w:right="348"/>
              <w:spacing w:after="0" w:line="175" w:lineRule="exact"/>
              <w:rPr>
                <w:sz w:val="20"/>
                <w:szCs w:val="20"/>
                <w:color w:val="auto"/>
              </w:rPr>
            </w:pPr>
            <w:r>
              <w:rPr>
                <w:rFonts w:ascii="Times New Roman" w:cs="Times New Roman" w:eastAsia="Times New Roman" w:hAnsi="Times New Roman"/>
                <w:sz w:val="14"/>
                <w:szCs w:val="14"/>
                <w:b w:val="1"/>
                <w:bCs w:val="1"/>
                <w:color w:val="auto"/>
              </w:rPr>
              <w:t>dividend</w:t>
            </w:r>
            <w:r>
              <w:rPr>
                <w:rFonts w:ascii="Times New Roman" w:cs="Times New Roman" w:eastAsia="Times New Roman" w:hAnsi="Times New Roman"/>
                <w:sz w:val="19"/>
                <w:szCs w:val="19"/>
                <w:b w:val="1"/>
                <w:bCs w:val="1"/>
                <w:color w:val="auto"/>
                <w:vertAlign w:val="superscript"/>
              </w:rPr>
              <w:t>(6)</w:t>
            </w:r>
          </w:p>
        </w:tc>
      </w:tr>
      <w:tr>
        <w:trPr>
          <w:trHeight w:val="142"/>
        </w:trPr>
        <w:tc>
          <w:tcPr>
            <w:tcW w:w="1940" w:type="dxa"/>
            <w:vAlign w:val="bottom"/>
          </w:tcPr>
          <w:p>
            <w:pPr>
              <w:spacing w:after="0"/>
              <w:rPr>
                <w:sz w:val="12"/>
                <w:szCs w:val="12"/>
                <w:color w:val="auto"/>
              </w:rPr>
            </w:pPr>
          </w:p>
        </w:tc>
        <w:tc>
          <w:tcPr>
            <w:tcW w:w="1640" w:type="dxa"/>
            <w:vAlign w:val="bottom"/>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1640" w:type="dxa"/>
            <w:vAlign w:val="bottom"/>
          </w:tcPr>
          <w:p>
            <w:pPr>
              <w:jc w:val="right"/>
              <w:ind w:right="52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16"/>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in 2014</w:t>
            </w:r>
          </w:p>
        </w:tc>
        <w:tc>
          <w:tcPr>
            <w:tcW w:w="1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0.008</w:t>
            </w:r>
          </w:p>
        </w:tc>
        <w:tc>
          <w:tcPr>
            <w:tcW w:w="17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0.00001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10 years</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4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Granted in 2015</w:t>
            </w: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0.008-0.016</w:t>
            </w:r>
          </w:p>
        </w:tc>
        <w:tc>
          <w:tcPr>
            <w:tcW w:w="17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0.00001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10 years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4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in 2016</w:t>
            </w:r>
          </w:p>
        </w:tc>
        <w:tc>
          <w:tcPr>
            <w:tcW w:w="1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0.019-0.030</w:t>
            </w:r>
          </w:p>
        </w:tc>
        <w:tc>
          <w:tcPr>
            <w:tcW w:w="17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0.00001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10 years</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Granted in 2017</w:t>
            </w: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0.034-0.059</w:t>
            </w:r>
          </w:p>
        </w:tc>
        <w:tc>
          <w:tcPr>
            <w:tcW w:w="17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0.00001-0.040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10 years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4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in 2018</w:t>
            </w:r>
          </w:p>
        </w:tc>
        <w:tc>
          <w:tcPr>
            <w:tcW w:w="1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0.147-0.405</w:t>
            </w:r>
          </w:p>
        </w:tc>
        <w:tc>
          <w:tcPr>
            <w:tcW w:w="17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0.0001-0.200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10 years</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4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Granted in 2019</w:t>
            </w: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0.274-0.484</w:t>
            </w:r>
          </w:p>
        </w:tc>
        <w:tc>
          <w:tcPr>
            <w:tcW w:w="17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0.00001-0.274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80" w:type="dxa"/>
            <w:vAlign w:val="bottom"/>
          </w:tcPr>
          <w:p>
            <w:pPr>
              <w:spacing w:after="0"/>
              <w:rPr>
                <w:sz w:val="18"/>
                <w:szCs w:val="18"/>
                <w:color w:val="auto"/>
              </w:rPr>
            </w:pPr>
          </w:p>
        </w:tc>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10 years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4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in 2021</w:t>
            </w:r>
          </w:p>
        </w:tc>
        <w:tc>
          <w:tcPr>
            <w:tcW w:w="1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0.2184</w:t>
            </w:r>
          </w:p>
        </w:tc>
        <w:tc>
          <w:tcPr>
            <w:tcW w:w="17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1.1853</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10 years</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4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0.0</w:t>
            </w: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Granted in 2025</w:t>
            </w: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0.2677</w:t>
            </w:r>
          </w:p>
        </w:tc>
        <w:tc>
          <w:tcPr>
            <w:tcW w:w="17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0.4000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20"/>
                <w:szCs w:val="20"/>
                <w:color w:val="auto"/>
              </w:rPr>
            </w:pPr>
          </w:p>
        </w:tc>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10 years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0.0</w:t>
            </w:r>
          </w:p>
        </w:tc>
      </w:tr>
    </w:tbl>
    <w:p>
      <w:pPr>
        <w:spacing w:after="0" w:line="71" w:lineRule="exact"/>
        <w:rPr>
          <w:sz w:val="20"/>
          <w:szCs w:val="20"/>
          <w:color w:val="auto"/>
        </w:rPr>
      </w:pPr>
    </w:p>
    <w:p>
      <w:pPr>
        <w:jc w:val="both"/>
        <w:ind w:left="380" w:hanging="372"/>
        <w:spacing w:after="0" w:line="266" w:lineRule="auto"/>
        <w:tabs>
          <w:tab w:leader="none" w:pos="36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underlying ordinary shares. Prior to the completion of initial public offering, the estimated fair value of the ordinary shares underlying the options as of the respective grant dates was determined based on a valuation with the assistance of a third party appraiser. The fair value of the underlying ordinary shares is determined based on the closing market price of the share after the completion of initial public offering in March 2019.</w:t>
      </w:r>
    </w:p>
    <w:p>
      <w:pPr>
        <w:spacing w:after="0" w:line="17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The exercise price of the options was determined by the Company’s Board of Directors.</w:t>
      </w:r>
    </w:p>
    <w:p>
      <w:pPr>
        <w:spacing w:after="0" w:line="22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6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The volatility of the underlying ordinary shares was estimated based on the historical share price movement of the comparable companies for the period of time close to the expected time to exercise.</w:t>
      </w:r>
    </w:p>
    <w:p>
      <w:pPr>
        <w:spacing w:after="0" w:line="16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life. The contractual life of the share options was the period between the grant date and the expiry date.</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6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Risk free rate is estimated based on market yield of U.S. Sovereign Curve with maturity close to the share options as of the valuation date, plus country spread.</w:t>
      </w:r>
    </w:p>
    <w:p>
      <w:pPr>
        <w:spacing w:after="0" w:line="16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The Company does not expect to declare any dividends in the foreseeable future.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29" w:lineRule="exact"/>
        <w:rPr>
          <w:sz w:val="20"/>
          <w:szCs w:val="20"/>
          <w:color w:val="auto"/>
        </w:rPr>
      </w:pPr>
    </w:p>
    <w:p>
      <w:pPr>
        <w:ind w:left="440" w:hanging="432"/>
        <w:spacing w:after="0" w:line="207" w:lineRule="exact"/>
        <w:tabs>
          <w:tab w:leader="none" w:pos="4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 (Continued)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options (Continued)</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the Company’s share option activities for the years ended December 31, 2024 and 2025 is presented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 share options</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3"/>
                <w:szCs w:val="13"/>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09"/>
        </w:trPr>
        <w:tc>
          <w:tcPr>
            <w:tcW w:w="408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80" w:type="dxa"/>
            <w:vAlign w:val="bottom"/>
          </w:tcPr>
          <w:p>
            <w:pPr>
              <w:spacing w:after="0"/>
              <w:rPr>
                <w:sz w:val="9"/>
                <w:szCs w:val="9"/>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contractual life</w:t>
            </w:r>
          </w:p>
        </w:tc>
        <w:tc>
          <w:tcPr>
            <w:tcW w:w="280" w:type="dxa"/>
            <w:vAlign w:val="bottom"/>
          </w:tcPr>
          <w:p>
            <w:pPr>
              <w:spacing w:after="0"/>
              <w:rPr>
                <w:sz w:val="9"/>
                <w:szCs w:val="9"/>
                <w:color w:val="auto"/>
              </w:rPr>
            </w:pPr>
          </w:p>
        </w:tc>
        <w:tc>
          <w:tcPr>
            <w:tcW w:w="15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64"/>
        </w:trPr>
        <w:tc>
          <w:tcPr>
            <w:tcW w:w="40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jc w:val="center"/>
              <w:ind w:left="54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2"/>
                <w:szCs w:val="12"/>
                <w:color w:val="auto"/>
              </w:rPr>
            </w:pPr>
          </w:p>
        </w:tc>
        <w:tc>
          <w:tcPr>
            <w:tcW w:w="14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26,107,401</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0.03001</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7,243,680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(1,727,500)</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0.03112</w:t>
            </w: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24,379,901</w:t>
            </w:r>
          </w:p>
        </w:tc>
        <w:tc>
          <w:tcPr>
            <w:tcW w:w="2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0.02993</w:t>
            </w:r>
          </w:p>
        </w:tc>
        <w:tc>
          <w:tcPr>
            <w:tcW w:w="20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10,450,903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0.40000</w:t>
            </w: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(2,307,445)</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0.05167</w:t>
            </w:r>
          </w:p>
        </w:tc>
        <w:tc>
          <w:tcPr>
            <w:tcW w:w="28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23,572,456</w:t>
            </w:r>
          </w:p>
        </w:tc>
        <w:tc>
          <w:tcPr>
            <w:tcW w:w="20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6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9"/>
              </w:rPr>
              <w:t>0.16411</w:t>
            </w:r>
          </w:p>
        </w:tc>
        <w:tc>
          <w:tcPr>
            <w:tcW w:w="20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7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10,312,765</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-453390</wp:posOffset>
            </wp:positionV>
            <wp:extent cx="6858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-170815</wp:posOffset>
            </wp:positionV>
            <wp:extent cx="6858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awards and the fair value of the underlying ordinary shares at each reporting date, for those awards that had exercise price below the estimated fair value of the relevant ordinary shares.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Group recognized share-based compensation expenses relating to the share options of US$612,686, US$111,536 and US$100,636 for the years ended December 31, 2023, 2024 and 2025, respectively. As of December 31, 2025, total unrecognized share-based compensation expenses relating to these share options was US$6,153,674. The expense is expected to be recognized over a weighted-average period of 4.0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the Company’s RSU activities for the years ended December 31, 2024 and 2025 is presented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02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Grant-Date</w:t>
            </w:r>
          </w:p>
        </w:tc>
        <w:tc>
          <w:tcPr>
            <w:tcW w:w="0" w:type="dxa"/>
            <w:vAlign w:val="bottom"/>
          </w:tcPr>
          <w:p>
            <w:pPr>
              <w:spacing w:after="0"/>
              <w:rPr>
                <w:sz w:val="1"/>
                <w:szCs w:val="1"/>
                <w:color w:val="auto"/>
              </w:rPr>
            </w:pPr>
          </w:p>
        </w:tc>
      </w:tr>
      <w:tr>
        <w:trPr>
          <w:trHeight w:val="173"/>
        </w:trPr>
        <w:tc>
          <w:tcPr>
            <w:tcW w:w="7000" w:type="dxa"/>
            <w:vAlign w:val="bottom"/>
          </w:tcPr>
          <w:p>
            <w:pPr>
              <w:spacing w:after="0"/>
              <w:rPr>
                <w:sz w:val="15"/>
                <w:szCs w:val="15"/>
                <w:color w:val="auto"/>
              </w:rPr>
            </w:pPr>
          </w:p>
        </w:tc>
        <w:tc>
          <w:tcPr>
            <w:tcW w:w="20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January 1, 2024</w:t>
            </w:r>
          </w:p>
        </w:tc>
        <w:tc>
          <w:tcPr>
            <w:tcW w:w="2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80,632,649</w:t>
            </w:r>
          </w:p>
        </w:tc>
        <w:tc>
          <w:tcPr>
            <w:tcW w:w="2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39,883,435</w:t>
            </w:r>
          </w:p>
        </w:tc>
        <w:tc>
          <w:tcPr>
            <w:tcW w:w="22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(29,344,005)</w:t>
            </w:r>
          </w:p>
        </w:tc>
        <w:tc>
          <w:tcPr>
            <w:tcW w:w="2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(5,292,247)</w:t>
            </w:r>
          </w:p>
        </w:tc>
        <w:tc>
          <w:tcPr>
            <w:tcW w:w="22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10"/>
        </w:trPr>
        <w:tc>
          <w:tcPr>
            <w:tcW w:w="7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2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85,879,832</w:t>
            </w:r>
          </w:p>
        </w:tc>
        <w:tc>
          <w:tcPr>
            <w:tcW w:w="222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48,881,040</w:t>
            </w:r>
          </w:p>
        </w:tc>
        <w:tc>
          <w:tcPr>
            <w:tcW w:w="22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(35,184,030)</w:t>
            </w:r>
          </w:p>
        </w:tc>
        <w:tc>
          <w:tcPr>
            <w:tcW w:w="2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(9,814,767)</w:t>
            </w:r>
          </w:p>
        </w:tc>
        <w:tc>
          <w:tcPr>
            <w:tcW w:w="22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49"/>
        </w:trPr>
        <w:tc>
          <w:tcPr>
            <w:tcW w:w="7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2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89,762,075</w:t>
            </w:r>
          </w:p>
        </w:tc>
        <w:tc>
          <w:tcPr>
            <w:tcW w:w="222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-591185</wp:posOffset>
            </wp:positionV>
            <wp:extent cx="11112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111125"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11112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6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7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Group recognized share-based compensation expenses relating to RSUs (including the expense upon modification) of US$9,435,333, US$9,525,309 and US$15,388,976 for the years ended December 31, 2023, 2024 and 2025, respectively. As of December 31, 2025, total unrecognized share-based compensation expenses relating to these RSUs was US$29,445,163. The expense is expected to be recognized over a weighted average period of 3.0 years.</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Group recognized tax benefit relating to the share-based compensation expense of share options and RSUs of US$936,732, US$1,548,985 and US$2,036,528 for the years ended December 31, 2023, 2024 and 2025,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6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29" w:lineRule="exact"/>
        <w:rPr>
          <w:sz w:val="20"/>
          <w:szCs w:val="20"/>
          <w:color w:val="auto"/>
        </w:rPr>
      </w:pPr>
    </w:p>
    <w:p>
      <w:pPr>
        <w:ind w:left="440" w:hanging="432"/>
        <w:spacing w:after="0" w:line="207" w:lineRule="exact"/>
        <w:tabs>
          <w:tab w:leader="none" w:pos="4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 (Continued)</w:t>
      </w:r>
    </w:p>
    <w:p>
      <w:pPr>
        <w:spacing w:after="0" w:line="261" w:lineRule="exact"/>
        <w:rPr>
          <w:rFonts w:ascii="Times New Roman" w:cs="Times New Roman" w:eastAsia="Times New Roman" w:hAnsi="Times New Roman"/>
          <w:sz w:val="18"/>
          <w:szCs w:val="18"/>
          <w:b w:val="1"/>
          <w:bCs w:val="1"/>
          <w:color w:val="auto"/>
        </w:rPr>
      </w:pPr>
    </w:p>
    <w:p>
      <w:pPr>
        <w:ind w:left="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Share Incentive Plan</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July 2022, Beijing Xiangshang granted share-based awards (“Xiangshang Plan”) to eligible employees and non-employees of Beijing Xiangshang and other employees within the Group. The Xiangshang Plan consists of share options and restricted shares. The estimated fair value of each option grant is estimated on the date of grant using the binominal option-pricing model. The weighted average grant date fair value of options granted for the year ended December 31, 2025 was RMB0.0442 per share. For the year ended December 31, 2025, total share-based compensation expenses for the share options and restricted shares granted under Xiangshang Plan were US119,529 (RMB857,160). As of December 31, 2025, there were US$167,067 (RMB1,197,970) of unrecognized share-based compensation expenses related to the share options and restricted shares granted. The expenses were expected to be recognized over a weighted-average period of 1.1 years.</w:t>
      </w:r>
    </w:p>
    <w:p>
      <w:pPr>
        <w:spacing w:after="0" w:line="185" w:lineRule="exact"/>
        <w:rPr>
          <w:sz w:val="20"/>
          <w:szCs w:val="20"/>
          <w:color w:val="auto"/>
        </w:rPr>
      </w:pPr>
    </w:p>
    <w:p>
      <w:pPr>
        <w:ind w:left="440" w:hanging="432"/>
        <w:spacing w:after="0"/>
        <w:tabs>
          <w:tab w:leader="none" w:pos="4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for the following years: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4080" w:type="dxa"/>
            <w:vAlign w:val="bottom"/>
            <w:tcBorders>
              <w:bottom w:val="single" w:sz="8" w:color="auto"/>
            </w:tcBorders>
            <w:gridSpan w:val="5"/>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840" w:type="dxa"/>
            <w:vAlign w:val="bottom"/>
          </w:tcPr>
          <w:p>
            <w:pPr>
              <w:spacing w:after="0"/>
              <w:rPr>
                <w:sz w:val="18"/>
                <w:szCs w:val="18"/>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09"/>
        </w:trPr>
        <w:tc>
          <w:tcPr>
            <w:tcW w:w="5840" w:type="dxa"/>
            <w:vAlign w:val="bottom"/>
          </w:tcPr>
          <w:p>
            <w:pPr>
              <w:spacing w:after="0"/>
              <w:rPr>
                <w:sz w:val="18"/>
                <w:szCs w:val="18"/>
                <w:color w:val="auto"/>
              </w:rPr>
            </w:pPr>
          </w:p>
        </w:tc>
        <w:tc>
          <w:tcPr>
            <w:tcW w:w="160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5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ordinary shareholders of UP</w:t>
            </w: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Fintech</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32,563,525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60,727,920</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170,899,537</w:t>
            </w:r>
          </w:p>
        </w:tc>
        <w:tc>
          <w:tcPr>
            <w:tcW w:w="120" w:type="dxa"/>
            <w:vAlign w:val="bottom"/>
          </w:tcPr>
          <w:p>
            <w:pPr>
              <w:spacing w:after="0"/>
              <w:rPr>
                <w:sz w:val="20"/>
                <w:szCs w:val="20"/>
                <w:color w:val="auto"/>
              </w:rPr>
            </w:pPr>
          </w:p>
        </w:tc>
      </w:tr>
      <w:tr>
        <w:trPr>
          <w:trHeight w:val="216"/>
        </w:trPr>
        <w:tc>
          <w:tcPr>
            <w:tcW w:w="58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The dilutive effect arising from the convertible bonds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912,009</w:t>
            </w:r>
          </w:p>
        </w:tc>
        <w:tc>
          <w:tcPr>
            <w:tcW w:w="24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1,139,018</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2,672,707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diluted net income per ordinary share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33,475,534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61,866,938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173,572,244</w:t>
            </w:r>
          </w:p>
        </w:tc>
        <w:tc>
          <w:tcPr>
            <w:tcW w:w="120" w:type="dxa"/>
            <w:vAlign w:val="bottom"/>
          </w:tcPr>
          <w:p>
            <w:pPr>
              <w:spacing w:after="0"/>
              <w:rPr>
                <w:sz w:val="18"/>
                <w:szCs w:val="18"/>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5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used in calculating net income</w:t>
            </w: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ordinary share</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2,325,338,439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2,404,640,854</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2,651,608,820</w:t>
            </w:r>
          </w:p>
        </w:tc>
        <w:tc>
          <w:tcPr>
            <w:tcW w:w="120" w:type="dxa"/>
            <w:vAlign w:val="bottom"/>
            <w:shd w:val="clear" w:color="auto" w:fill="CFF0FC"/>
          </w:tcPr>
          <w:p>
            <w:pPr>
              <w:spacing w:after="0"/>
              <w:rPr>
                <w:sz w:val="18"/>
                <w:szCs w:val="18"/>
                <w:color w:val="auto"/>
              </w:rPr>
            </w:pPr>
          </w:p>
        </w:tc>
      </w:tr>
      <w:tr>
        <w:trPr>
          <w:trHeight w:val="216"/>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Dilutive effect of share options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5,440,751</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5,513,427</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4,088,223</w:t>
            </w:r>
          </w:p>
        </w:tc>
        <w:tc>
          <w:tcPr>
            <w:tcW w:w="120" w:type="dxa"/>
            <w:vAlign w:val="bottom"/>
            <w:shd w:val="clear" w:color="auto" w:fill="CFF0FC"/>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effect of restricted shares units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26,325,143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41,932,200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45,203,610</w:t>
            </w:r>
          </w:p>
        </w:tc>
        <w:tc>
          <w:tcPr>
            <w:tcW w:w="120" w:type="dxa"/>
            <w:vAlign w:val="bottom"/>
          </w:tcPr>
          <w:p>
            <w:pPr>
              <w:spacing w:after="0"/>
              <w:rPr>
                <w:sz w:val="18"/>
                <w:szCs w:val="18"/>
                <w:color w:val="auto"/>
              </w:rPr>
            </w:pPr>
          </w:p>
        </w:tc>
      </w:tr>
      <w:tr>
        <w:trPr>
          <w:trHeight w:val="216"/>
        </w:trPr>
        <w:tc>
          <w:tcPr>
            <w:tcW w:w="58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Dilutive effect of convertible bonds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70,164,498</w:t>
            </w:r>
          </w:p>
        </w:tc>
        <w:tc>
          <w:tcPr>
            <w:tcW w:w="24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82,010,834</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106,831,729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Denominator for diluted net income per ordinary share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2,427,268,831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2,534,097,315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2,807,732,382</w:t>
            </w:r>
          </w:p>
        </w:tc>
        <w:tc>
          <w:tcPr>
            <w:tcW w:w="120" w:type="dxa"/>
            <w:vAlign w:val="bottom"/>
          </w:tcPr>
          <w:p>
            <w:pPr>
              <w:spacing w:after="0"/>
              <w:rPr>
                <w:sz w:val="18"/>
                <w:szCs w:val="18"/>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per ordinary share</w:t>
            </w:r>
          </w:p>
        </w:tc>
        <w:tc>
          <w:tcPr>
            <w:tcW w:w="16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0.064</w:t>
            </w:r>
          </w:p>
        </w:tc>
        <w:tc>
          <w:tcPr>
            <w:tcW w:w="120" w:type="dxa"/>
            <w:vAlign w:val="bottom"/>
          </w:tcPr>
          <w:p>
            <w:pPr>
              <w:spacing w:after="0"/>
              <w:rPr>
                <w:sz w:val="18"/>
                <w:szCs w:val="18"/>
                <w:color w:val="auto"/>
              </w:rPr>
            </w:pPr>
          </w:p>
        </w:tc>
      </w:tr>
      <w:tr>
        <w:trPr>
          <w:trHeight w:val="216"/>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0.024</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0.062</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-1816735</wp:posOffset>
            </wp:positionV>
            <wp:extent cx="6858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-1816735</wp:posOffset>
            </wp:positionV>
            <wp:extent cx="6858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-1816735</wp:posOffset>
            </wp:positionV>
            <wp:extent cx="7747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-565150</wp:posOffset>
            </wp:positionV>
            <wp:extent cx="6858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-565150</wp:posOffset>
            </wp:positionV>
            <wp:extent cx="6858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-565150</wp:posOffset>
            </wp:positionV>
            <wp:extent cx="7747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15.</w:t>
        <w:tab/>
        <w:t>TREASURY STOCK</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March 25, 2020, the Company’s Board of Directors approved a share repurchase program. Under the terms of the approved program (“Share Repurchase Program”), the Company may repurchase US$20 million worth of its outstanding ADSs from time to time for a period not to exceed twelve months. As of December 31, 2024 and 2025, an aggregate of 10,429,305 ordinary shares under the Share Repurchase Program has been repurchased in the open market, with an average price of US$3.13 per ADS, or US$0.21 per share for a total consideration of US$2.2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7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BALANCES AND TRANSACTIONS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68287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71">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19"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Amounts due from related parties: </w:t>
      </w:r>
      <w:r>
        <w:rPr>
          <w:rFonts w:ascii="Times New Roman" w:cs="Times New Roman" w:eastAsia="Times New Roman" w:hAnsi="Times New Roman"/>
          <w:sz w:val="18"/>
          <w:szCs w:val="18"/>
          <w:color w:val="auto"/>
        </w:rPr>
        <w:t xml:space="preserve">Alphalion Technology Holding Limited and its affiliates (“Alphalion Group”) </w:t>
      </w:r>
      <w:r>
        <w:rPr>
          <w:rFonts w:ascii="Times New Roman" w:cs="Times New Roman" w:eastAsia="Times New Roman" w:hAnsi="Times New Roman"/>
          <w:sz w:val="9"/>
          <w:szCs w:val="9"/>
          <w:color w:val="auto"/>
        </w:rPr>
        <w:t>(1)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19685</wp:posOffset>
            </wp:positionV>
            <wp:extent cx="192849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72">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11" w:lineRule="exact"/>
        <w:rPr>
          <w:sz w:val="20"/>
          <w:szCs w:val="20"/>
          <w:color w:val="auto"/>
        </w:rPr>
      </w:pPr>
    </w:p>
    <w:p>
      <w:pPr>
        <w:spacing w:after="0"/>
        <w:tabs>
          <w:tab w:leader="none" w:pos="4260" w:val="left"/>
          <w:tab w:leader="none" w:pos="5880" w:val="left"/>
        </w:tabs>
        <w:rPr>
          <w:sz w:val="20"/>
          <w:szCs w:val="20"/>
          <w:color w:val="auto"/>
        </w:rPr>
      </w:pPr>
      <w:r>
        <w:rPr>
          <w:rFonts w:ascii="Times New Roman" w:cs="Times New Roman" w:eastAsia="Times New Roman" w:hAnsi="Times New Roman"/>
          <w:sz w:val="18"/>
          <w:szCs w:val="18"/>
          <w:b w:val="1"/>
          <w:bCs w:val="1"/>
          <w:color w:val="auto"/>
        </w:rPr>
        <w:t>Relationship with the Group</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430339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3">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3" w:lineRule="exact"/>
        <w:rPr>
          <w:sz w:val="20"/>
          <w:szCs w:val="20"/>
          <w:color w:val="auto"/>
        </w:rPr>
      </w:pPr>
    </w:p>
    <w:p>
      <w:pPr>
        <w:ind w:left="4300"/>
        <w:spacing w:after="0"/>
        <w:tabs>
          <w:tab w:leader="none" w:pos="5900" w:val="left"/>
        </w:tabs>
        <w:rPr>
          <w:sz w:val="20"/>
          <w:szCs w:val="20"/>
          <w:color w:val="auto"/>
        </w:rPr>
      </w:pPr>
      <w:r>
        <w:rPr>
          <w:rFonts w:ascii="Times New Roman" w:cs="Times New Roman" w:eastAsia="Times New Roman" w:hAnsi="Times New Roman"/>
          <w:sz w:val="18"/>
          <w:szCs w:val="18"/>
          <w:b w:val="1"/>
          <w:bCs w:val="1"/>
          <w:color w:val="auto"/>
        </w:rPr>
        <w:t>US$</w:t>
      </w:r>
      <w:r>
        <w:rPr>
          <w:sz w:val="20"/>
          <w:szCs w:val="20"/>
          <w:color w:val="auto"/>
        </w:rPr>
        <w:tab/>
      </w:r>
      <w:r>
        <w:rPr>
          <w:rFonts w:ascii="Times New Roman" w:cs="Times New Roman" w:eastAsia="Times New Roman" w:hAnsi="Times New Roman"/>
          <w:sz w:val="17"/>
          <w:szCs w:val="17"/>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14605</wp:posOffset>
            </wp:positionV>
            <wp:extent cx="7132320" cy="13716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Long-term available-for-sale investee</w:t>
            </w:r>
          </w:p>
        </w:tc>
        <w:tc>
          <w:tcPr>
            <w:tcW w:w="2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917,288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955,628</w:t>
            </w:r>
          </w:p>
        </w:tc>
      </w:tr>
    </w:tbl>
    <w:p>
      <w:pPr>
        <w:spacing w:after="0" w:line="126" w:lineRule="exact"/>
        <w:rPr>
          <w:sz w:val="20"/>
          <w:szCs w:val="20"/>
          <w:color w:val="auto"/>
        </w:rPr>
      </w:pPr>
    </w:p>
    <w:p>
      <w:pPr>
        <w:sectPr>
          <w:pgSz w:w="11900" w:h="16838" w:orient="portrait"/>
          <w:cols w:equalWidth="0" w:num="2">
            <w:col w:w="3640" w:space="720"/>
            <w:col w:w="68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3780" w:type="dxa"/>
            <w:vAlign w:val="bottom"/>
            <w:tcBorders>
              <w:bottom w:val="single" w:sz="8" w:color="CFF0FC"/>
            </w:tcBorders>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 xml:space="preserve">Individual directors and executive officers </w:t>
            </w:r>
            <w:r>
              <w:rPr>
                <w:rFonts w:ascii="Times New Roman" w:cs="Times New Roman" w:eastAsia="Times New Roman" w:hAnsi="Times New Roman"/>
                <w:sz w:val="9"/>
                <w:szCs w:val="9"/>
                <w:color w:val="auto"/>
              </w:rPr>
              <w:t>(2)</w:t>
            </w:r>
          </w:p>
        </w:tc>
        <w:tc>
          <w:tcPr>
            <w:tcW w:w="4320" w:type="dxa"/>
            <w:vAlign w:val="bottom"/>
            <w:tcBorders>
              <w:bottom w:val="single" w:sz="8" w:color="CFF0FC"/>
            </w:tcBorders>
            <w:shd w:val="clear" w:color="auto" w:fill="CFF0FC"/>
          </w:tcPr>
          <w:p>
            <w:pPr>
              <w:ind w:left="580"/>
              <w:spacing w:after="0" w:line="198" w:lineRule="exact"/>
              <w:rPr>
                <w:sz w:val="20"/>
                <w:szCs w:val="20"/>
                <w:color w:val="auto"/>
              </w:rPr>
            </w:pPr>
            <w:r>
              <w:rPr>
                <w:rFonts w:ascii="Times New Roman" w:cs="Times New Roman" w:eastAsia="Times New Roman" w:hAnsi="Times New Roman"/>
                <w:sz w:val="18"/>
                <w:szCs w:val="18"/>
                <w:color w:val="auto"/>
              </w:rPr>
              <w:t>Directors or officers of the Group</w:t>
            </w:r>
          </w:p>
        </w:tc>
        <w:tc>
          <w:tcPr>
            <w:tcW w:w="1440" w:type="dxa"/>
            <w:vAlign w:val="bottom"/>
            <w:tcBorders>
              <w:bottom w:val="single" w:sz="8" w:color="auto"/>
            </w:tcBorders>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15,803,383</w:t>
            </w:r>
          </w:p>
        </w:tc>
        <w:tc>
          <w:tcPr>
            <w:tcW w:w="22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18,122,132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4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16,720,671</w:t>
            </w:r>
          </w:p>
        </w:tc>
        <w:tc>
          <w:tcPr>
            <w:tcW w:w="2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19,077,760</w:t>
            </w:r>
          </w:p>
        </w:tc>
      </w:tr>
      <w:tr>
        <w:trPr>
          <w:trHeight w:val="20"/>
        </w:trPr>
        <w:tc>
          <w:tcPr>
            <w:tcW w:w="37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hanging="752"/>
        <w:spacing w:after="0" w:line="282"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short-term, interest-free loans provided to Alphalion Group to facilitate its daily operational cash flow needs and prepaid IT service fee as of December 31, 2024 and 2025.</w:t>
      </w:r>
    </w:p>
    <w:p>
      <w:pPr>
        <w:spacing w:after="0" w:line="161"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provided brokerage services and financing to its individual directors and executive officers and their spouses during its ordinary courses of business. The amounts represent receivables from directors and executive officers of the Group as of December 31, 2024 and 2025, respectively.</w:t>
      </w:r>
    </w:p>
    <w:p>
      <w:pPr>
        <w:spacing w:after="0" w:line="388"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19685</wp:posOffset>
            </wp:positionV>
            <wp:extent cx="191135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77">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11" w:lineRule="exact"/>
        <w:rPr>
          <w:sz w:val="20"/>
          <w:szCs w:val="20"/>
          <w:color w:val="auto"/>
        </w:rPr>
      </w:pPr>
    </w:p>
    <w:p>
      <w:pPr>
        <w:spacing w:after="0"/>
        <w:tabs>
          <w:tab w:leader="none" w:pos="4280" w:val="left"/>
          <w:tab w:leader="none" w:pos="8640" w:val="left"/>
          <w:tab w:leader="none" w:pos="1026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b w:val="1"/>
          <w:bCs w:val="1"/>
          <w:color w:val="auto"/>
        </w:rPr>
        <w:t>Relationship with the Group</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6374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3" w:lineRule="exact"/>
        <w:rPr>
          <w:sz w:val="20"/>
          <w:szCs w:val="20"/>
          <w:color w:val="auto"/>
        </w:rPr>
      </w:pPr>
    </w:p>
    <w:p>
      <w:pPr>
        <w:ind w:left="8680"/>
        <w:spacing w:after="0"/>
        <w:tabs>
          <w:tab w:leader="none" w:pos="10280" w:val="left"/>
        </w:tabs>
        <w:rPr>
          <w:sz w:val="20"/>
          <w:szCs w:val="20"/>
          <w:color w:val="auto"/>
        </w:rPr>
      </w:pPr>
      <w:r>
        <w:rPr>
          <w:rFonts w:ascii="Times New Roman" w:cs="Times New Roman" w:eastAsia="Times New Roman" w:hAnsi="Times New Roman"/>
          <w:sz w:val="18"/>
          <w:szCs w:val="18"/>
          <w:b w:val="1"/>
          <w:bCs w:val="1"/>
          <w:color w:val="auto"/>
        </w:rPr>
        <w:t>US$</w:t>
      </w:r>
      <w:r>
        <w:rPr>
          <w:sz w:val="20"/>
          <w:szCs w:val="20"/>
          <w:color w:val="auto"/>
        </w:rPr>
        <w:tab/>
      </w:r>
      <w:r>
        <w:rPr>
          <w:rFonts w:ascii="Times New Roman" w:cs="Times New Roman" w:eastAsia="Times New Roman" w:hAnsi="Times New Roman"/>
          <w:sz w:val="17"/>
          <w:szCs w:val="17"/>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 due to related parties:</w:t>
      </w:r>
    </w:p>
    <w:p>
      <w:pPr>
        <w:spacing w:after="0" w:line="9" w:lineRule="exact"/>
        <w:rPr>
          <w:sz w:val="20"/>
          <w:szCs w:val="20"/>
          <w:color w:val="auto"/>
        </w:rPr>
      </w:pPr>
    </w:p>
    <w:p>
      <w:pPr>
        <w:spacing w:after="0"/>
        <w:tabs>
          <w:tab w:leader="none" w:pos="4280" w:val="left"/>
        </w:tabs>
        <w:rPr>
          <w:sz w:val="20"/>
          <w:szCs w:val="20"/>
          <w:color w:val="auto"/>
        </w:rPr>
      </w:pPr>
      <w:r>
        <w:rPr>
          <w:rFonts w:ascii="Times New Roman" w:cs="Times New Roman" w:eastAsia="Times New Roman" w:hAnsi="Times New Roman"/>
          <w:sz w:val="18"/>
          <w:szCs w:val="18"/>
          <w:color w:val="auto"/>
        </w:rPr>
        <w:t xml:space="preserve">Individual directors and executive officers </w:t>
      </w:r>
      <w:r>
        <w:rPr>
          <w:rFonts w:ascii="Times New Roman" w:cs="Times New Roman" w:eastAsia="Times New Roman" w:hAnsi="Times New Roman"/>
          <w:sz w:val="9"/>
          <w:szCs w:val="9"/>
          <w:color w:val="auto"/>
        </w:rPr>
        <w:t>(3)</w:t>
      </w:r>
      <w:r>
        <w:rPr>
          <w:sz w:val="20"/>
          <w:szCs w:val="20"/>
          <w:color w:val="auto"/>
        </w:rPr>
        <w:tab/>
      </w:r>
      <w:r>
        <w:rPr>
          <w:rFonts w:ascii="Times New Roman" w:cs="Times New Roman" w:eastAsia="Times New Roman" w:hAnsi="Times New Roman"/>
          <w:sz w:val="17"/>
          <w:szCs w:val="17"/>
          <w:color w:val="auto"/>
        </w:rPr>
        <w:t>Directors or officers of the Group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6319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8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6" w:lineRule="exact"/>
        <w:rPr>
          <w:sz w:val="20"/>
          <w:szCs w:val="20"/>
          <w:color w:val="auto"/>
        </w:rPr>
      </w:pPr>
    </w:p>
    <w:p>
      <w:pPr>
        <w:ind w:left="760" w:hanging="752"/>
        <w:spacing w:after="0"/>
        <w:tabs>
          <w:tab w:leader="none" w:pos="7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cash account balance of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Relationship with the Group</w:t>
            </w:r>
          </w:p>
        </w:tc>
        <w:tc>
          <w:tcPr>
            <w:tcW w:w="0" w:type="dxa"/>
            <w:vAlign w:val="bottom"/>
          </w:tcPr>
          <w:p>
            <w:pPr>
              <w:spacing w:after="0"/>
              <w:rPr>
                <w:sz w:val="1"/>
                <w:szCs w:val="1"/>
                <w:color w:val="auto"/>
              </w:rPr>
            </w:pPr>
          </w:p>
        </w:tc>
      </w:tr>
      <w:tr>
        <w:trPr>
          <w:trHeight w:val="40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Alphalion Group </w:t>
            </w:r>
            <w:r>
              <w:rPr>
                <w:rFonts w:ascii="Times New Roman" w:cs="Times New Roman" w:eastAsia="Times New Roman" w:hAnsi="Times New Roman"/>
                <w:sz w:val="24"/>
                <w:szCs w:val="24"/>
                <w:color w:val="auto"/>
                <w:vertAlign w:val="superscript"/>
              </w:rPr>
              <w:t>(4)</w:t>
            </w:r>
          </w:p>
        </w:tc>
        <w:tc>
          <w:tcPr>
            <w:tcW w:w="12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Long-term available-for-sale investee</w:t>
            </w:r>
          </w:p>
        </w:tc>
        <w:tc>
          <w:tcPr>
            <w:tcW w:w="0" w:type="dxa"/>
            <w:vAlign w:val="bottom"/>
          </w:tcPr>
          <w:p>
            <w:pPr>
              <w:spacing w:after="0"/>
              <w:rPr>
                <w:sz w:val="1"/>
                <w:szCs w:val="1"/>
                <w:color w:val="auto"/>
              </w:rPr>
            </w:pPr>
          </w:p>
        </w:tc>
      </w:tr>
      <w:tr>
        <w:trPr>
          <w:trHeight w:val="196"/>
        </w:trPr>
        <w:tc>
          <w:tcPr>
            <w:tcW w:w="3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Individual directors and executive</w:t>
            </w:r>
          </w:p>
        </w:tc>
        <w:tc>
          <w:tcPr>
            <w:tcW w:w="120" w:type="dxa"/>
            <w:vAlign w:val="bottom"/>
          </w:tcPr>
          <w:p>
            <w:pPr>
              <w:spacing w:after="0"/>
              <w:rPr>
                <w:sz w:val="17"/>
                <w:szCs w:val="17"/>
                <w:color w:val="auto"/>
              </w:rPr>
            </w:pPr>
          </w:p>
        </w:tc>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Directors or officers of the Group</w:t>
            </w:r>
          </w:p>
        </w:tc>
        <w:tc>
          <w:tcPr>
            <w:tcW w:w="0" w:type="dxa"/>
            <w:vAlign w:val="bottom"/>
          </w:tcPr>
          <w:p>
            <w:pPr>
              <w:spacing w:after="0"/>
              <w:rPr>
                <w:sz w:val="1"/>
                <w:szCs w:val="1"/>
                <w:color w:val="auto"/>
              </w:rPr>
            </w:pPr>
          </w:p>
        </w:tc>
      </w:tr>
      <w:tr>
        <w:trPr>
          <w:trHeight w:val="317"/>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officers </w:t>
            </w:r>
            <w:r>
              <w:rPr>
                <w:rFonts w:ascii="Times New Roman" w:cs="Times New Roman" w:eastAsia="Times New Roman" w:hAnsi="Times New Roman"/>
                <w:sz w:val="24"/>
                <w:szCs w:val="24"/>
                <w:color w:val="auto"/>
                <w:vertAlign w:val="superscript"/>
              </w:rPr>
              <w:t>(5)</w:t>
            </w:r>
          </w:p>
        </w:tc>
        <w:tc>
          <w:tcPr>
            <w:tcW w:w="12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13716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620"/>
        <w:spacing w:after="0"/>
        <w:tabs>
          <w:tab w:leader="none" w:pos="2960" w:val="left"/>
        </w:tabs>
        <w:rPr>
          <w:sz w:val="20"/>
          <w:szCs w:val="20"/>
          <w:color w:val="auto"/>
        </w:rPr>
      </w:pPr>
      <w:r>
        <w:rPr>
          <w:rFonts w:ascii="Times New Roman" w:cs="Times New Roman" w:eastAsia="Times New Roman" w:hAnsi="Times New Roman"/>
          <w:sz w:val="18"/>
          <w:szCs w:val="18"/>
          <w:color w:val="auto"/>
        </w:rPr>
        <w:t>874,331</w:t>
      </w:r>
      <w:r>
        <w:rPr>
          <w:sz w:val="20"/>
          <w:szCs w:val="20"/>
          <w:color w:val="auto"/>
        </w:rPr>
        <w:tab/>
      </w:r>
      <w:r>
        <w:rPr>
          <w:rFonts w:ascii="Times New Roman" w:cs="Times New Roman" w:eastAsia="Times New Roman" w:hAnsi="Times New Roman"/>
          <w:sz w:val="18"/>
          <w:szCs w:val="18"/>
          <w:color w:val="auto"/>
        </w:rPr>
        <w:t>69,935,059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17145</wp:posOffset>
            </wp:positionV>
            <wp:extent cx="191135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82">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7" w:lineRule="exact"/>
        <w:rPr>
          <w:sz w:val="20"/>
          <w:szCs w:val="20"/>
          <w:color w:val="auto"/>
        </w:rPr>
      </w:pPr>
    </w:p>
    <w:p>
      <w:pPr>
        <w:ind w:left="1620"/>
        <w:spacing w:after="0"/>
        <w:tabs>
          <w:tab w:leader="none" w:pos="2960" w:val="left"/>
        </w:tabs>
        <w:rPr>
          <w:sz w:val="20"/>
          <w:szCs w:val="20"/>
          <w:color w:val="auto"/>
        </w:rPr>
      </w:pPr>
      <w:r>
        <w:rPr>
          <w:rFonts w:ascii="Times New Roman" w:cs="Times New Roman" w:eastAsia="Times New Roman" w:hAnsi="Times New Roman"/>
          <w:sz w:val="18"/>
          <w:szCs w:val="18"/>
          <w:b w:val="1"/>
          <w:bCs w:val="1"/>
          <w:color w:val="auto"/>
        </w:rPr>
        <w:t>874,331</w:t>
      </w:r>
      <w:r>
        <w:rPr>
          <w:sz w:val="20"/>
          <w:szCs w:val="20"/>
          <w:color w:val="auto"/>
        </w:rPr>
        <w:tab/>
      </w:r>
      <w:r>
        <w:rPr>
          <w:rFonts w:ascii="Times New Roman" w:cs="Times New Roman" w:eastAsia="Times New Roman" w:hAnsi="Times New Roman"/>
          <w:sz w:val="18"/>
          <w:szCs w:val="18"/>
          <w:b w:val="1"/>
          <w:bCs w:val="1"/>
          <w:color w:val="auto"/>
        </w:rPr>
        <w:t>69,935,059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8"/>
                <w:szCs w:val="18"/>
                <w:color w:val="auto"/>
              </w:rPr>
            </w:pPr>
          </w:p>
        </w:tc>
      </w:tr>
      <w:tr>
        <w:trPr>
          <w:trHeight w:val="191"/>
        </w:trPr>
        <w:tc>
          <w:tcPr>
            <w:tcW w:w="122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6"/>
                <w:szCs w:val="16"/>
                <w:color w:val="auto"/>
              </w:rPr>
            </w:pPr>
          </w:p>
        </w:tc>
        <w:tc>
          <w:tcPr>
            <w:tcW w:w="122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6"/>
                <w:szCs w:val="16"/>
                <w:color w:val="auto"/>
              </w:rPr>
            </w:pPr>
          </w:p>
        </w:tc>
        <w:tc>
          <w:tcPr>
            <w:tcW w:w="112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tcPr>
          <w:p>
            <w:pPr>
              <w:spacing w:after="0"/>
              <w:rPr>
                <w:sz w:val="16"/>
                <w:szCs w:val="16"/>
                <w:color w:val="auto"/>
              </w:rPr>
            </w:pPr>
          </w:p>
        </w:tc>
      </w:tr>
      <w:tr>
        <w:trPr>
          <w:trHeight w:val="234"/>
        </w:trPr>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(150,360)</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(116,150)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324"/>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1,501,351</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1,402,815</w:t>
            </w:r>
          </w:p>
        </w:tc>
        <w:tc>
          <w:tcPr>
            <w:tcW w:w="12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(1,441,549)</w:t>
            </w:r>
          </w:p>
        </w:tc>
      </w:tr>
    </w:tbl>
    <w:p>
      <w:pPr>
        <w:spacing w:after="0" w:line="306" w:lineRule="exact"/>
        <w:rPr>
          <w:sz w:val="20"/>
          <w:szCs w:val="20"/>
          <w:color w:val="auto"/>
        </w:rPr>
      </w:pPr>
    </w:p>
    <w:p>
      <w:pPr>
        <w:sectPr>
          <w:pgSz w:w="11900" w:h="16838" w:orient="portrait"/>
          <w:cols w:equalWidth="0" w:num="2">
            <w:col w:w="7220" w:space="120"/>
            <w:col w:w="3900"/>
          </w:cols>
          <w:pgMar w:left="320" w:top="121" w:right="339" w:bottom="1440" w:gutter="0" w:footer="0" w:header="0"/>
          <w:type w:val="continuous"/>
        </w:sectPr>
      </w:pPr>
    </w:p>
    <w:p>
      <w:pPr>
        <w:ind w:left="760" w:hanging="752"/>
        <w:spacing w:after="0"/>
        <w:tabs>
          <w:tab w:leader="none" w:pos="7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purchase of IT services from Alphalion Group for the years ended December 31, 2023, 2024 and 2025, respectively.</w:t>
      </w:r>
    </w:p>
    <w:p>
      <w:pPr>
        <w:spacing w:after="0" w:line="22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commissions, interest income and interest expense from providing brokerage services and financing to the individual directors and executive officers during its ordinary courses of business for the years ended December 31, 2023, 2024 and 2025,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COLLATERALIZED TRANSACTIONS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231F20"/>
        </w:rPr>
        <w:t xml:space="preserve">The Group accepted collateral in connection with client margin loans and security borrowing and lending transactions for consolidated account customers. The Group monitors required margin and collateral level on a daily basis in compliance with regulatory and internal guidelines and controls its risk exposure through financial, credit, legal reporting system. Under applicable agreements, customers are required to deposit additional collateral or reduce holding positions, when necessary to avoid forced liquidation of their positions. </w:t>
      </w:r>
      <w:r>
        <w:rPr>
          <w:rFonts w:ascii="Times New Roman" w:cs="Times New Roman" w:eastAsia="Times New Roman" w:hAnsi="Times New Roman"/>
          <w:sz w:val="18"/>
          <w:szCs w:val="18"/>
          <w:color w:val="000000"/>
        </w:rPr>
        <w:t>Pursuant to the authorization obtained from margin clients,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Group further repledges the collaterals to other financial institutions to obtain the funding for the margin transactions.</w:t>
      </w:r>
    </w:p>
    <w:p>
      <w:pPr>
        <w:spacing w:after="0" w:line="18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Margin loans are extended to customers on demand and are not committed facilities. Underlying collateral for margin loans is evaluated with respect to the liquidity of the collateral positions, valuation of securities, volatility analysis and an evaluation of industry concentrations. The Group’s collateral policies minimize the Group’s credit exposure to margin loans in the event of a customer’s default.</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For the Group’s securities borrowing and lending transactions which require to deposit cash collateral with the securities lenders and receive the cash collateral from the borrowers, the cash collateral is generally in excess of the market value of the securities borrowed and lent. The Group monitors the market value of securities borrowed and lent on a daily basis, with additional collateral obtained or refunded as permitted contractually.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amounts related to collateralized transactions as of December 31, 2024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600" w:type="dxa"/>
            <w:vAlign w:val="bottom"/>
            <w:gridSpan w:val="4"/>
          </w:tcPr>
          <w:p>
            <w:pPr>
              <w:ind w:left="10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0"/>
        </w:trPr>
        <w:tc>
          <w:tcPr>
            <w:tcW w:w="42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4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60" w:type="dxa"/>
            <w:vAlign w:val="bottom"/>
            <w:tcBorders>
              <w:top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42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4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162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client margin asset</w:t>
            </w:r>
          </w:p>
        </w:tc>
        <w:tc>
          <w:tcPr>
            <w:tcW w:w="34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5,955,470,924</w:t>
            </w:r>
          </w:p>
        </w:tc>
        <w:tc>
          <w:tcPr>
            <w:tcW w:w="2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11,763,340,261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Fulfillment of client margin financings</w:t>
            </w:r>
          </w:p>
        </w:tc>
        <w:tc>
          <w:tcPr>
            <w:tcW w:w="5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98,569,380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551,597,262</w:t>
            </w:r>
          </w:p>
        </w:tc>
        <w:tc>
          <w:tcPr>
            <w:tcW w:w="100" w:type="dxa"/>
            <w:vAlign w:val="bottom"/>
          </w:tcPr>
          <w:p>
            <w:pPr>
              <w:spacing w:after="0"/>
              <w:rPr>
                <w:sz w:val="24"/>
                <w:szCs w:val="24"/>
                <w:color w:val="auto"/>
              </w:rPr>
            </w:pPr>
          </w:p>
        </w:tc>
      </w:tr>
      <w:tr>
        <w:trPr>
          <w:trHeight w:val="216"/>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Fulfillment of client short sales</w:t>
            </w:r>
          </w:p>
        </w:tc>
        <w:tc>
          <w:tcPr>
            <w:tcW w:w="5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63,012,727</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64,966,542</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lending to other brokers</w:t>
            </w:r>
          </w:p>
        </w:tc>
        <w:tc>
          <w:tcPr>
            <w:tcW w:w="34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1,251,062,827</w:t>
            </w:r>
          </w:p>
        </w:tc>
        <w:tc>
          <w:tcPr>
            <w:tcW w:w="24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1,579,905,163</w:t>
            </w:r>
          </w:p>
        </w:tc>
        <w:tc>
          <w:tcPr>
            <w:tcW w:w="100" w:type="dxa"/>
            <w:vAlign w:val="bottom"/>
          </w:tcPr>
          <w:p>
            <w:pPr>
              <w:spacing w:after="0"/>
              <w:rPr>
                <w:sz w:val="18"/>
                <w:szCs w:val="18"/>
                <w:color w:val="auto"/>
              </w:rPr>
            </w:pPr>
          </w:p>
        </w:tc>
      </w:tr>
      <w:tr>
        <w:trPr>
          <w:trHeight w:val="250"/>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collateral repledged</w:t>
            </w:r>
          </w:p>
        </w:tc>
        <w:tc>
          <w:tcPr>
            <w:tcW w:w="344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1,412,644,934</w:t>
            </w:r>
          </w:p>
        </w:tc>
        <w:tc>
          <w:tcPr>
            <w:tcW w:w="24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2,196,468,967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4200" w:type="dxa"/>
            <w:vAlign w:val="bottom"/>
          </w:tcPr>
          <w:p>
            <w:pPr>
              <w:spacing w:after="0"/>
              <w:rPr>
                <w:sz w:val="24"/>
                <w:szCs w:val="24"/>
                <w:color w:val="auto"/>
              </w:rPr>
            </w:pPr>
          </w:p>
        </w:tc>
        <w:tc>
          <w:tcPr>
            <w:tcW w:w="5080" w:type="dxa"/>
            <w:vAlign w:val="bottom"/>
            <w:gridSpan w:val="2"/>
          </w:tcPr>
          <w:p>
            <w:pPr>
              <w:jc w:val="right"/>
              <w:ind w:right="3390"/>
              <w:spacing w:after="0"/>
              <w:rPr>
                <w:sz w:val="20"/>
                <w:szCs w:val="20"/>
                <w:color w:val="auto"/>
              </w:rPr>
            </w:pPr>
            <w:r>
              <w:rPr>
                <w:rFonts w:ascii="Times New Roman" w:cs="Times New Roman" w:eastAsia="Times New Roman" w:hAnsi="Times New Roman"/>
                <w:sz w:val="18"/>
                <w:szCs w:val="18"/>
                <w:color w:val="auto"/>
              </w:rPr>
              <w:t>F-50</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2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-1636395</wp:posOffset>
            </wp:positionV>
            <wp:extent cx="6858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-934085</wp:posOffset>
            </wp:positionV>
            <wp:extent cx="6858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-916940</wp:posOffset>
            </wp:positionV>
            <wp:extent cx="6858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Group’s leases consist of operating leases for corporate offices, data centers, and other facilities. The Group determines if an arrangement is a lease at inception. Some lease agreements contain lease and non-lease components, which the Group choose to account for as separate components. The allocation of the consideration between the lease and the non-lease components is based on the relative stand-alone prices of lease components included in the lease contracts. As of December 31, 2025, the Group had no long-term leases that were classified as a financing lease. As of December 31, 2025, the operating leases that have not yet commenced is immaterial. The arrangements of remaining lease terms are one year to four years. Total lease expenses for the year ended December 31, 2024 and 2025 was US$5,688,809 and US$7,143,341, which were recorded in occupancy, depreciation and amortization on the consolidated statements of comprehensive income. The Group classifies operating lease payments as cash outflows for operating activities in the statement of cash flows. The Group presents the reduction in the carrying amount of the right-of-use assets and the change in operating lease liabilities as two adjustments to net income and changes in net assets in the reconciliation of net income to net cash flows from operating activities.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The following table presents balances reported in the consolidated balance sheets related to the Group’s leases:</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6280" w:type="dxa"/>
            <w:vAlign w:val="bottom"/>
          </w:tcPr>
          <w:p>
            <w:pPr>
              <w:spacing w:after="0"/>
              <w:rPr>
                <w:sz w:val="24"/>
                <w:szCs w:val="24"/>
                <w:color w:val="auto"/>
              </w:rPr>
            </w:pPr>
          </w:p>
        </w:tc>
        <w:tc>
          <w:tcPr>
            <w:tcW w:w="4960" w:type="dxa"/>
            <w:vAlign w:val="bottom"/>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09"/>
        </w:trPr>
        <w:tc>
          <w:tcPr>
            <w:tcW w:w="6280" w:type="dxa"/>
            <w:vAlign w:val="bottom"/>
          </w:tcPr>
          <w:p>
            <w:pPr>
              <w:spacing w:after="0"/>
              <w:rPr>
                <w:sz w:val="18"/>
                <w:szCs w:val="18"/>
                <w:color w:val="auto"/>
              </w:rPr>
            </w:pPr>
          </w:p>
        </w:tc>
        <w:tc>
          <w:tcPr>
            <w:tcW w:w="22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tcBorders>
          </w:tcPr>
          <w:p>
            <w:pPr>
              <w:spacing w:after="0"/>
              <w:rPr>
                <w:sz w:val="18"/>
                <w:szCs w:val="18"/>
                <w:color w:val="auto"/>
              </w:rPr>
            </w:pPr>
          </w:p>
        </w:tc>
        <w:tc>
          <w:tcPr>
            <w:tcW w:w="228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10"/>
        </w:trPr>
        <w:tc>
          <w:tcPr>
            <w:tcW w:w="6280" w:type="dxa"/>
            <w:vAlign w:val="bottom"/>
          </w:tcPr>
          <w:p>
            <w:pPr>
              <w:spacing w:after="0"/>
              <w:rPr>
                <w:sz w:val="18"/>
                <w:szCs w:val="18"/>
                <w:color w:val="auto"/>
              </w:rPr>
            </w:pPr>
          </w:p>
        </w:tc>
        <w:tc>
          <w:tcPr>
            <w:tcW w:w="226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US$</w:t>
            </w:r>
          </w:p>
        </w:tc>
        <w:tc>
          <w:tcPr>
            <w:tcW w:w="300" w:type="dxa"/>
            <w:vAlign w:val="bottom"/>
          </w:tcPr>
          <w:p>
            <w:pPr>
              <w:spacing w:after="0"/>
              <w:rPr>
                <w:sz w:val="18"/>
                <w:szCs w:val="18"/>
                <w:color w:val="auto"/>
              </w:rPr>
            </w:pPr>
          </w:p>
        </w:tc>
        <w:tc>
          <w:tcPr>
            <w:tcW w:w="228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10,880,673</w:t>
            </w:r>
          </w:p>
        </w:tc>
        <w:tc>
          <w:tcPr>
            <w:tcW w:w="30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11,674,596</w:t>
            </w:r>
          </w:p>
        </w:tc>
        <w:tc>
          <w:tcPr>
            <w:tcW w:w="120" w:type="dxa"/>
            <w:vAlign w:val="bottom"/>
            <w:shd w:val="clear" w:color="auto" w:fill="CFF0FC"/>
          </w:tcPr>
          <w:p>
            <w:pPr>
              <w:spacing w:after="0"/>
              <w:rPr>
                <w:sz w:val="18"/>
                <w:szCs w:val="18"/>
                <w:color w:val="auto"/>
              </w:rPr>
            </w:pP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10,056,251</w:t>
            </w:r>
          </w:p>
        </w:tc>
        <w:tc>
          <w:tcPr>
            <w:tcW w:w="3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10,976,915</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presents operating lease expenses and short-term lease expenses reported in the consolidated statements of comprehensive income related to the Group’s leases:</w:t>
      </w:r>
    </w:p>
    <w:p>
      <w:pPr>
        <w:spacing w:after="0" w:line="5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80" w:type="dxa"/>
            <w:vAlign w:val="bottom"/>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2"/>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6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8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US$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5,168,034</w:t>
            </w: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6,580,883</w:t>
            </w:r>
          </w:p>
        </w:tc>
        <w:tc>
          <w:tcPr>
            <w:tcW w:w="100" w:type="dxa"/>
            <w:vAlign w:val="bottom"/>
            <w:shd w:val="clear" w:color="auto" w:fill="CFF0FC"/>
          </w:tcPr>
          <w:p>
            <w:pPr>
              <w:spacing w:after="0"/>
              <w:rPr>
                <w:sz w:val="18"/>
                <w:szCs w:val="18"/>
                <w:color w:val="auto"/>
              </w:rPr>
            </w:pPr>
          </w:p>
        </w:tc>
      </w:t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expenses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520,775</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562,458</w:t>
            </w:r>
          </w:p>
        </w:tc>
        <w:tc>
          <w:tcPr>
            <w:tcW w:w="100" w:type="dxa"/>
            <w:vAlign w:val="bottom"/>
          </w:tcPr>
          <w:p>
            <w:pPr>
              <w:spacing w:after="0"/>
              <w:rPr>
                <w:sz w:val="20"/>
                <w:szCs w:val="20"/>
                <w:color w:val="auto"/>
              </w:rPr>
            </w:pPr>
          </w:p>
        </w:tc>
      </w:tr>
      <w:tr>
        <w:trPr>
          <w:trHeight w:val="441"/>
        </w:trPr>
        <w:tc>
          <w:tcPr>
            <w:tcW w:w="6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 summary of supplemental information related to operating leases is as follows:</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6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10"/>
        </w:trPr>
        <w:tc>
          <w:tcPr>
            <w:tcW w:w="6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6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20" w:type="dxa"/>
            <w:vAlign w:val="bottom"/>
            <w:tcBorders>
              <w:top w:val="single" w:sz="8" w:color="auto"/>
            </w:tcBorders>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200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6,319,923</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6,897,814</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right-of-use assets in exchange for new lease obligations:</w:t>
            </w: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6,748,032</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6,182,198</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 years</w:t>
            </w:r>
          </w:p>
        </w:tc>
        <w:tc>
          <w:tcPr>
            <w:tcW w:w="240" w:type="dxa"/>
            <w:vAlign w:val="bottom"/>
          </w:tcPr>
          <w:p>
            <w:pPr>
              <w:spacing w:after="0"/>
              <w:rPr>
                <w:sz w:val="18"/>
                <w:szCs w:val="18"/>
                <w:color w:val="auto"/>
              </w:rPr>
            </w:pPr>
          </w:p>
        </w:tc>
        <w:tc>
          <w:tcPr>
            <w:tcW w:w="21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r>
      <w:tr>
        <w:trPr>
          <w:trHeight w:val="630"/>
        </w:trPr>
        <w:tc>
          <w:tcPr>
            <w:tcW w:w="688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F-51</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6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9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914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UP FINTECH HOLDING LIMITED</w:t>
            </w:r>
          </w:p>
        </w:tc>
        <w:tc>
          <w:tcPr>
            <w:tcW w:w="170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914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NOTES TO THE CONSOLIDATED FINANCIAL STATEMENTS</w:t>
            </w:r>
          </w:p>
        </w:tc>
        <w:tc>
          <w:tcPr>
            <w:tcW w:w="170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914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tc>
        <w:tc>
          <w:tcPr>
            <w:tcW w:w="1700" w:type="dxa"/>
            <w:vAlign w:val="bottom"/>
          </w:tcPr>
          <w:p>
            <w:pPr>
              <w:spacing w:after="0"/>
              <w:rPr>
                <w:sz w:val="24"/>
                <w:szCs w:val="24"/>
                <w:color w:val="auto"/>
              </w:rPr>
            </w:pPr>
          </w:p>
        </w:tc>
      </w:tr>
      <w:tr>
        <w:trPr>
          <w:trHeight w:val="473"/>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9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Lease (Continued)</w:t>
            </w:r>
          </w:p>
        </w:tc>
        <w:tc>
          <w:tcPr>
            <w:tcW w:w="1700" w:type="dxa"/>
            <w:vAlign w:val="bottom"/>
          </w:tcPr>
          <w:p>
            <w:pPr>
              <w:spacing w:after="0"/>
              <w:rPr>
                <w:sz w:val="24"/>
                <w:szCs w:val="24"/>
                <w:color w:val="auto"/>
              </w:rPr>
            </w:pPr>
          </w:p>
        </w:tc>
      </w:tr>
      <w:tr>
        <w:trPr>
          <w:trHeight w:val="432"/>
        </w:trPr>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(Continued)</w:t>
            </w:r>
          </w:p>
        </w:tc>
        <w:tc>
          <w:tcPr>
            <w:tcW w:w="170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9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following is a maturity analysis of the annual undiscounted cash flows for the annual periods ended December 31:</w:t>
            </w:r>
          </w:p>
        </w:tc>
        <w:tc>
          <w:tcPr>
            <w:tcW w:w="1700" w:type="dxa"/>
            <w:vAlign w:val="bottom"/>
          </w:tcPr>
          <w:p>
            <w:pPr>
              <w:spacing w:after="0"/>
              <w:rPr>
                <w:sz w:val="24"/>
                <w:szCs w:val="24"/>
                <w:color w:val="auto"/>
              </w:rPr>
            </w:pPr>
          </w:p>
        </w:tc>
      </w:tr>
      <w:tr>
        <w:trPr>
          <w:trHeight w:val="540"/>
        </w:trPr>
        <w:tc>
          <w:tcPr>
            <w:tcW w:w="40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4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95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700" w:type="dxa"/>
            <w:vAlign w:val="bottom"/>
            <w:shd w:val="clear" w:color="auto" w:fill="CFF0FC"/>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7,092,390</w:t>
            </w:r>
          </w:p>
        </w:tc>
      </w:tr>
      <w:tr>
        <w:trPr>
          <w:trHeight w:val="216"/>
        </w:trPr>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8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3,899,443</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544,714</w:t>
            </w:r>
          </w:p>
        </w:tc>
      </w:tr>
      <w:tr>
        <w:trPr>
          <w:trHeight w:val="216"/>
        </w:trPr>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8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2030 and after</w:t>
            </w:r>
          </w:p>
        </w:tc>
        <w:tc>
          <w:tcPr>
            <w:tcW w:w="7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8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74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11,536,547</w:t>
            </w:r>
          </w:p>
        </w:tc>
      </w:tr>
      <w:tr>
        <w:trPr>
          <w:trHeight w:val="209"/>
        </w:trPr>
        <w:tc>
          <w:tcPr>
            <w:tcW w:w="8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Less: imputed interest</w:t>
            </w:r>
          </w:p>
        </w:tc>
        <w:tc>
          <w:tcPr>
            <w:tcW w:w="7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(559,632)</w:t>
            </w:r>
          </w:p>
        </w:tc>
      </w:tr>
      <w:tr>
        <w:trPr>
          <w:trHeight w:val="249"/>
        </w:trPr>
        <w:tc>
          <w:tcPr>
            <w:tcW w:w="88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Present value of operating lease liabilities</w:t>
            </w:r>
          </w:p>
        </w:tc>
        <w:tc>
          <w:tcPr>
            <w:tcW w:w="74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10,976,915</w:t>
            </w:r>
          </w:p>
        </w:tc>
      </w:tr>
      <w:tr>
        <w:trPr>
          <w:trHeight w:val="413"/>
        </w:trPr>
        <w:tc>
          <w:tcPr>
            <w:tcW w:w="400" w:type="dxa"/>
            <w:vAlign w:val="bottom"/>
          </w:tcPr>
          <w:p>
            <w:pPr>
              <w:spacing w:after="0"/>
              <w:rPr>
                <w:sz w:val="24"/>
                <w:szCs w:val="24"/>
                <w:color w:val="auto"/>
              </w:rPr>
            </w:pPr>
          </w:p>
        </w:tc>
        <w:tc>
          <w:tcPr>
            <w:tcW w:w="9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terms of the leases do not contain contingent rents.</w:t>
            </w:r>
          </w:p>
        </w:tc>
        <w:tc>
          <w:tcPr>
            <w:tcW w:w="1700" w:type="dxa"/>
            <w:vAlign w:val="bottom"/>
          </w:tcPr>
          <w:p>
            <w:pPr>
              <w:spacing w:after="0"/>
              <w:rPr>
                <w:sz w:val="24"/>
                <w:szCs w:val="24"/>
                <w:color w:val="auto"/>
              </w:rPr>
            </w:pP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9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7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Company did not have any significant capital or other commitments, long-term obligations, or guarantees as of December 31,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82" w:lineRule="exact"/>
        <w:rPr>
          <w:sz w:val="20"/>
          <w:szCs w:val="20"/>
          <w:color w:val="auto"/>
        </w:rPr>
      </w:pPr>
    </w:p>
    <w:p>
      <w:pPr>
        <w:ind w:left="440" w:hanging="432"/>
        <w:spacing w:after="0"/>
        <w:tabs>
          <w:tab w:leader="none" w:pos="4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REQUIREMENT</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Company’s subsidiaries, TradeUP Securities, US Tiger Securities, Tiger Brokers SG, Tiger Fund Management, Tiger Brokers HK, YAX HK, and TBAU are subject to capital requirements determined by its respective regulators.</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TradeUP Securities and US Tiger Securities, the Company’s USA subsidiaries, are subject to the Uniform Net Capital Rule (Rule 15c3-1) under the Exchange Act in the USA, which requires the maintenance of minimum net capital.</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Tiger Brokers SG and Tiger Fund Management, the Company’s Singapore subsidiaries, are subject to the Securities and Futures (Financial and Margin Requirements for Holders of Capital Markets Services Licenses) Regulations (as amended in 2018) under the Securities and Futures Act 2001, which require the maintenance of minimum net capital.</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Tiger Brokers HK and YAX HK, the Company’s Hong Kong subsidiaries, are subject to Securities and Futures (Financial Resources) Rules and the Securities and Futures Ordinance, which required to maintain minimum paid-up share capital and liquid capital.</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TBAU, the Company’s Australia subsidiary, is subject to s912A(1)(d) of the Corporations Act 2001 in Australia, which requires the maintenance of minimum net capital.</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2024 and 2025, all of the Company’s broker-dealer subsidiaries met applicable minimum net capital requirements. The tables below summaries the net capital, the capital requirement and the excess net capital for the Company’s broker-dealer subsidiaries as of December 31, 2024 and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Net Capital</w:t>
            </w:r>
          </w:p>
        </w:tc>
        <w:tc>
          <w:tcPr>
            <w:tcW w:w="180" w:type="dxa"/>
            <w:vAlign w:val="bottom"/>
          </w:tcPr>
          <w:p>
            <w:pPr>
              <w:spacing w:after="0"/>
              <w:rPr>
                <w:sz w:val="20"/>
                <w:szCs w:val="20"/>
                <w:color w:val="auto"/>
              </w:rPr>
            </w:pPr>
          </w:p>
        </w:tc>
        <w:tc>
          <w:tcPr>
            <w:tcW w:w="22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Requirement</w:t>
            </w:r>
          </w:p>
        </w:tc>
        <w:tc>
          <w:tcPr>
            <w:tcW w:w="160" w:type="dxa"/>
            <w:vAlign w:val="bottom"/>
          </w:tcPr>
          <w:p>
            <w:pPr>
              <w:spacing w:after="0"/>
              <w:rPr>
                <w:sz w:val="20"/>
                <w:szCs w:val="20"/>
                <w:color w:val="auto"/>
              </w:rPr>
            </w:pPr>
          </w:p>
        </w:tc>
        <w:tc>
          <w:tcPr>
            <w:tcW w:w="2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Excess Net Capital</w:t>
            </w:r>
          </w:p>
        </w:tc>
        <w:tc>
          <w:tcPr>
            <w:tcW w:w="0" w:type="dxa"/>
            <w:vAlign w:val="bottom"/>
          </w:tcPr>
          <w:p>
            <w:pPr>
              <w:spacing w:after="0"/>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2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80" w:type="dxa"/>
            <w:vAlign w:val="bottom"/>
          </w:tcPr>
          <w:p>
            <w:pPr>
              <w:spacing w:after="0"/>
              <w:rPr>
                <w:sz w:val="18"/>
                <w:szCs w:val="18"/>
                <w:color w:val="auto"/>
              </w:rPr>
            </w:pPr>
          </w:p>
        </w:tc>
        <w:tc>
          <w:tcPr>
            <w:tcW w:w="2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60" w:type="dxa"/>
            <w:vAlign w:val="bottom"/>
          </w:tcPr>
          <w:p>
            <w:pPr>
              <w:spacing w:after="0"/>
              <w:rPr>
                <w:sz w:val="18"/>
                <w:szCs w:val="18"/>
                <w:color w:val="auto"/>
              </w:rPr>
            </w:pP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TradeUP Securities</w:t>
            </w:r>
          </w:p>
        </w:tc>
        <w:tc>
          <w:tcPr>
            <w:tcW w:w="2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253,654,596</w:t>
            </w:r>
          </w:p>
        </w:tc>
        <w:tc>
          <w:tcPr>
            <w:tcW w:w="2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25,843,328</w:t>
            </w:r>
          </w:p>
        </w:tc>
        <w:tc>
          <w:tcPr>
            <w:tcW w:w="2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227,811,268</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Tiger Brokers SG</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262,485,542</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21,130,762</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241,354,780</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Tiger Brokers HK</w:t>
            </w:r>
          </w:p>
        </w:tc>
        <w:tc>
          <w:tcPr>
            <w:tcW w:w="2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87,921,190</w:t>
            </w:r>
          </w:p>
        </w:tc>
        <w:tc>
          <w:tcPr>
            <w:tcW w:w="2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34,147,598</w:t>
            </w:r>
          </w:p>
        </w:tc>
        <w:tc>
          <w:tcPr>
            <w:tcW w:w="2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53,773,592</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US Tiger Securities</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12,915,603</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12,665,603</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TBAU</w:t>
            </w:r>
          </w:p>
        </w:tc>
        <w:tc>
          <w:tcPr>
            <w:tcW w:w="2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10,088,794</w:t>
            </w:r>
          </w:p>
        </w:tc>
        <w:tc>
          <w:tcPr>
            <w:tcW w:w="2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3,334,445</w:t>
            </w:r>
          </w:p>
        </w:tc>
        <w:tc>
          <w:tcPr>
            <w:tcW w:w="2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6,754,349</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Tiger Fund Management</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1,571,184</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194,416</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1,376,767</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YAX HK</w:t>
            </w:r>
          </w:p>
        </w:tc>
        <w:tc>
          <w:tcPr>
            <w:tcW w:w="2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4,736,551</w:t>
            </w:r>
          </w:p>
        </w:tc>
        <w:tc>
          <w:tcPr>
            <w:tcW w:w="180" w:type="dxa"/>
            <w:vAlign w:val="bottom"/>
            <w:tcBorders>
              <w:bottom w:val="single" w:sz="8" w:color="CFF0FC"/>
            </w:tcBorders>
            <w:shd w:val="clear" w:color="auto" w:fill="CFF0FC"/>
          </w:tcPr>
          <w:p>
            <w:pPr>
              <w:spacing w:after="0"/>
              <w:rPr>
                <w:sz w:val="18"/>
                <w:szCs w:val="18"/>
                <w:color w:val="auto"/>
              </w:rPr>
            </w:pPr>
          </w:p>
        </w:tc>
        <w:tc>
          <w:tcPr>
            <w:tcW w:w="2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385,441</w:t>
            </w:r>
          </w:p>
        </w:tc>
        <w:tc>
          <w:tcPr>
            <w:tcW w:w="160" w:type="dxa"/>
            <w:vAlign w:val="bottom"/>
            <w:tcBorders>
              <w:bottom w:val="single" w:sz="8" w:color="CFF0FC"/>
            </w:tcBorders>
            <w:shd w:val="clear" w:color="auto" w:fill="CFF0FC"/>
          </w:tcPr>
          <w:p>
            <w:pPr>
              <w:spacing w:after="0"/>
              <w:rPr>
                <w:sz w:val="18"/>
                <w:szCs w:val="18"/>
                <w:color w:val="auto"/>
              </w:rPr>
            </w:pPr>
          </w:p>
        </w:tc>
        <w:tc>
          <w:tcPr>
            <w:tcW w:w="2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4,351,111</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633,373,460</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85,285,990</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548,087,470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Net Capital</w:t>
            </w:r>
          </w:p>
        </w:tc>
        <w:tc>
          <w:tcPr>
            <w:tcW w:w="180" w:type="dxa"/>
            <w:vAlign w:val="bottom"/>
          </w:tcPr>
          <w:p>
            <w:pPr>
              <w:spacing w:after="0"/>
              <w:rPr>
                <w:sz w:val="24"/>
                <w:szCs w:val="24"/>
                <w:color w:val="auto"/>
              </w:rPr>
            </w:pPr>
          </w:p>
        </w:tc>
        <w:tc>
          <w:tcPr>
            <w:tcW w:w="22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Requirement</w:t>
            </w:r>
          </w:p>
        </w:tc>
        <w:tc>
          <w:tcPr>
            <w:tcW w:w="160" w:type="dxa"/>
            <w:vAlign w:val="bottom"/>
          </w:tcPr>
          <w:p>
            <w:pPr>
              <w:spacing w:after="0"/>
              <w:rPr>
                <w:sz w:val="24"/>
                <w:szCs w:val="24"/>
                <w:color w:val="auto"/>
              </w:rPr>
            </w:pPr>
          </w:p>
        </w:tc>
        <w:tc>
          <w:tcPr>
            <w:tcW w:w="2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Excess Net Capital</w:t>
            </w:r>
          </w:p>
        </w:tc>
        <w:tc>
          <w:tcPr>
            <w:tcW w:w="0" w:type="dxa"/>
            <w:vAlign w:val="bottom"/>
          </w:tcPr>
          <w:p>
            <w:pPr>
              <w:spacing w:after="0"/>
              <w:rPr>
                <w:sz w:val="1"/>
                <w:szCs w:val="1"/>
                <w:color w:val="auto"/>
              </w:rPr>
            </w:pPr>
          </w:p>
        </w:tc>
      </w:tr>
      <w:tr>
        <w:trPr>
          <w:trHeight w:val="209"/>
        </w:trPr>
        <w:tc>
          <w:tcPr>
            <w:tcW w:w="4080" w:type="dxa"/>
            <w:vAlign w:val="bottom"/>
            <w:vMerge w:val="continue"/>
          </w:tcPr>
          <w:p>
            <w:pPr>
              <w:spacing w:after="0"/>
              <w:rPr>
                <w:sz w:val="18"/>
                <w:szCs w:val="18"/>
                <w:color w:val="auto"/>
              </w:rPr>
            </w:pPr>
          </w:p>
        </w:tc>
        <w:tc>
          <w:tcPr>
            <w:tcW w:w="2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80" w:type="dxa"/>
            <w:vAlign w:val="bottom"/>
          </w:tcPr>
          <w:p>
            <w:pPr>
              <w:spacing w:after="0"/>
              <w:rPr>
                <w:sz w:val="18"/>
                <w:szCs w:val="18"/>
                <w:color w:val="auto"/>
              </w:rPr>
            </w:pPr>
          </w:p>
        </w:tc>
        <w:tc>
          <w:tcPr>
            <w:tcW w:w="2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60" w:type="dxa"/>
            <w:vAlign w:val="bottom"/>
          </w:tcPr>
          <w:p>
            <w:pPr>
              <w:spacing w:after="0"/>
              <w:rPr>
                <w:sz w:val="18"/>
                <w:szCs w:val="18"/>
                <w:color w:val="auto"/>
              </w:rPr>
            </w:pP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TradeUP Securities</w:t>
            </w:r>
          </w:p>
        </w:tc>
        <w:tc>
          <w:tcPr>
            <w:tcW w:w="2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204,825,441</w:t>
            </w:r>
          </w:p>
        </w:tc>
        <w:tc>
          <w:tcPr>
            <w:tcW w:w="2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22,789,455</w:t>
            </w:r>
          </w:p>
        </w:tc>
        <w:tc>
          <w:tcPr>
            <w:tcW w:w="2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182,035,986</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Tiger Brokers SG</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205,992,868</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15,895,481</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190,097,387</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Tiger Brokers HK</w:t>
            </w:r>
          </w:p>
        </w:tc>
        <w:tc>
          <w:tcPr>
            <w:tcW w:w="2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58,838,395</w:t>
            </w:r>
          </w:p>
        </w:tc>
        <w:tc>
          <w:tcPr>
            <w:tcW w:w="2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11,686,213</w:t>
            </w:r>
          </w:p>
        </w:tc>
        <w:tc>
          <w:tcPr>
            <w:tcW w:w="2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47,152,182</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US Tiger Securities</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10,731,914</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10,481,914</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TBAU</w:t>
            </w:r>
          </w:p>
        </w:tc>
        <w:tc>
          <w:tcPr>
            <w:tcW w:w="2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4,227,660</w:t>
            </w:r>
          </w:p>
        </w:tc>
        <w:tc>
          <w:tcPr>
            <w:tcW w:w="180" w:type="dxa"/>
            <w:vAlign w:val="bottom"/>
            <w:tcBorders>
              <w:bottom w:val="single" w:sz="8" w:color="CFF0FC"/>
            </w:tcBorders>
            <w:shd w:val="clear" w:color="auto" w:fill="CFF0FC"/>
          </w:tcPr>
          <w:p>
            <w:pPr>
              <w:spacing w:after="0"/>
              <w:rPr>
                <w:sz w:val="18"/>
                <w:szCs w:val="18"/>
                <w:color w:val="auto"/>
              </w:rPr>
            </w:pPr>
          </w:p>
        </w:tc>
        <w:tc>
          <w:tcPr>
            <w:tcW w:w="2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256,115</w:t>
            </w:r>
          </w:p>
        </w:tc>
        <w:tc>
          <w:tcPr>
            <w:tcW w:w="160" w:type="dxa"/>
            <w:vAlign w:val="bottom"/>
            <w:tcBorders>
              <w:bottom w:val="single" w:sz="8" w:color="CFF0FC"/>
            </w:tcBorders>
            <w:shd w:val="clear" w:color="auto" w:fill="CFF0FC"/>
          </w:tcPr>
          <w:p>
            <w:pPr>
              <w:spacing w:after="0"/>
              <w:rPr>
                <w:sz w:val="18"/>
                <w:szCs w:val="18"/>
                <w:color w:val="auto"/>
              </w:rPr>
            </w:pPr>
          </w:p>
        </w:tc>
        <w:tc>
          <w:tcPr>
            <w:tcW w:w="2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3,971,545</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484,616,278</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50,877,264</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433,739,014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80" w:type="dxa"/>
            <w:vAlign w:val="bottom"/>
          </w:tcPr>
          <w:p>
            <w:pPr>
              <w:spacing w:after="0"/>
              <w:rPr>
                <w:sz w:val="24"/>
                <w:szCs w:val="24"/>
                <w:color w:val="auto"/>
              </w:rPr>
            </w:pPr>
          </w:p>
        </w:tc>
        <w:tc>
          <w:tcPr>
            <w:tcW w:w="2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F-53</w:t>
            </w: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-2356485</wp:posOffset>
            </wp:positionV>
            <wp:extent cx="11112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-2356485</wp:posOffset>
            </wp:positionV>
            <wp:extent cx="10287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-1079500</wp:posOffset>
            </wp:positionV>
            <wp:extent cx="11112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-1079500</wp:posOffset>
            </wp:positionV>
            <wp:extent cx="10287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88" w:lineRule="exact"/>
        <w:rPr>
          <w:sz w:val="20"/>
          <w:szCs w:val="20"/>
          <w:color w:val="auto"/>
        </w:rPr>
      </w:pPr>
    </w:p>
    <w:p>
      <w:pPr>
        <w:jc w:val="both"/>
        <w:ind w:firstLine="749"/>
        <w:spacing w:after="0" w:line="228" w:lineRule="exact"/>
        <w:rPr>
          <w:sz w:val="20"/>
          <w:szCs w:val="20"/>
          <w:color w:val="auto"/>
        </w:rPr>
      </w:pPr>
      <w:r>
        <w:rPr>
          <w:rFonts w:ascii="Times New Roman" w:cs="Times New Roman" w:eastAsia="Times New Roman" w:hAnsi="Times New Roman"/>
          <w:sz w:val="18"/>
          <w:szCs w:val="18"/>
          <w:color w:val="auto"/>
        </w:rPr>
        <w:t>Full time PRC employees of the Group are eligible to participate in a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mandated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employer defined contribution plan under which certain pension benefits, medical care, unemployment insurance and employee housing fund are provided to these employees. The PRC labor regulations require the Group to accrue for these benefits based on a percentage of each employee’s salary income. Total provisions for employee benefits were US$12,336,035, US$13,424,115 and US$15,774,843 for the years ended December 31, 2023, 2024 and 2025, respectively, reported as a component of salary and compensation expenses when incurred.</w:t>
      </w:r>
    </w:p>
    <w:p>
      <w:pPr>
        <w:spacing w:after="0" w:line="194" w:lineRule="exact"/>
        <w:rPr>
          <w:sz w:val="20"/>
          <w:szCs w:val="20"/>
          <w:color w:val="auto"/>
        </w:rPr>
      </w:pPr>
    </w:p>
    <w:p>
      <w:pPr>
        <w:ind w:left="440" w:hanging="432"/>
        <w:spacing w:after="0"/>
        <w:tabs>
          <w:tab w:leader="none" w:pos="4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RESERVES AND RESTRICTED NET ASSETS</w:t>
      </w:r>
    </w:p>
    <w:p>
      <w:pPr>
        <w:spacing w:after="0" w:line="229" w:lineRule="exact"/>
        <w:rPr>
          <w:sz w:val="20"/>
          <w:szCs w:val="20"/>
          <w:color w:val="auto"/>
        </w:rPr>
      </w:pPr>
    </w:p>
    <w:p>
      <w:pPr>
        <w:jc w:val="both"/>
        <w:ind w:firstLine="749"/>
        <w:spacing w:after="0" w:line="219" w:lineRule="exact"/>
        <w:rPr>
          <w:sz w:val="20"/>
          <w:szCs w:val="20"/>
          <w:color w:val="auto"/>
        </w:rPr>
      </w:pPr>
      <w:r>
        <w:rPr>
          <w:rFonts w:ascii="Times New Roman" w:cs="Times New Roman" w:eastAsia="Times New Roman" w:hAnsi="Times New Roman"/>
          <w:sz w:val="18"/>
          <w:szCs w:val="18"/>
          <w:color w:val="auto"/>
        </w:rPr>
        <w:t>In accordance with the PRC laws and regulations, the Group’s subsidiaries located in the PRC, are required to provide for certain statutory reserves. These statutory reserve funds include one or more of the following: (i) a general reserve, (ii) an enterprise expansion fund or discretionary reserve fund, and (iii) a staff bonus and welfare fund. Subject to certain cumulative limits, the general reserve fund requires a minimum annual appropriation of 10% of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profit at each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(as determined under accounting principles generally accepted in China); the other fund appropriations are at the subsidiaries’ or the affiliated PRC entities’ discretion. These statutory reserve funds can only be used for specific purposes of enterprise expansion, staff bonus and welfare, and are not distributable as cash dividends except in the event of liquidation of Group’s subsidiaries, affiliated PRC entities and their respective subsidiaries. The Group’s subsidiaries are required to allocate at least 10% of their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profits to the general reserve until such reserve has reached 50% of their respective registered capital.</w:t>
      </w:r>
    </w:p>
    <w:p>
      <w:pPr>
        <w:spacing w:after="0" w:line="19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and 2025, Hangzhou U-Tiger made appropriation to these statutory reserve funds of US$751 and US$3,909 respectively due to the profit position, which did not reach the maximum required amount of 50% of its registered capital.</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2025, Beijing Yixin made appropriation to these statutory reserve funds of US$3,895,554 and US$3,135,966 respectively due to the profit position, which did not reach the maximum required amount of 50% of its registered capital.</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2025, Guangzhou U-Tiger made appropriation to these statutory reserve funds of US$18,119 and US$21,711 respectively due to the profit position, which did not reach the maximum required amount of 50% of its registered capital.</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Appropriations to the enterprise expansion reserve and the staff welfare and bonus reserve are to be made at the discretion of the Board of Directors of each of the Group’s subsidiaries.</w:t>
      </w:r>
    </w:p>
    <w:p>
      <w:pPr>
        <w:spacing w:after="0" w:line="162" w:lineRule="exact"/>
        <w:rPr>
          <w:sz w:val="20"/>
          <w:szCs w:val="20"/>
          <w:color w:val="auto"/>
        </w:rPr>
      </w:pPr>
    </w:p>
    <w:p>
      <w:pPr>
        <w:jc w:val="both"/>
        <w:ind w:firstLine="749"/>
        <w:spacing w:after="0" w:line="232" w:lineRule="exact"/>
        <w:rPr>
          <w:sz w:val="20"/>
          <w:szCs w:val="20"/>
          <w:color w:val="auto"/>
        </w:rPr>
      </w:pPr>
      <w:r>
        <w:rPr>
          <w:rFonts w:ascii="Times New Roman" w:cs="Times New Roman" w:eastAsia="Times New Roman" w:hAnsi="Times New Roman"/>
          <w:sz w:val="18"/>
          <w:szCs w:val="18"/>
          <w:color w:val="auto"/>
        </w:rPr>
        <w:t>As a result of these PRC laws and regulations and the requirement that distributions by the PRC entities can only be paid out of distributable profits computed in accordance with the PRC GAAP, the PRC entities are restricted from transferring a portion of their net assets to the Group. Amounts restricted include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 and the statutory reserves of the Group’s PRC subsidiaries.</w:t>
      </w:r>
    </w:p>
    <w:p>
      <w:pPr>
        <w:spacing w:after="0" w:line="17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aggregate amounts of capital and statutory reserves restricted which represented the amount of net assets of the relevant subsidiaries in the Group not available for distribution were US$87,801,080 and US$90,962,666 as of December 31, 2024 and 2025,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0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Segments are components of the Company that engage in business activities from which it recognizes revenues and incurs expenses and for which the operating results are regularly reviewed by the chief operating decision maker (the “CODM”), to make decisions about resources to be allocated to the segment and assess its performance. The CODM has been identified as the Group’s Chief Executive Officer. The Group operates as a single operating segment which is providing online brokerage services to global customers based on its trading platform. The single operating segment is reported in a manner consistent with the internal reporting provided to the CODM.</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CODM uses consolidated net income in deciding whether to reinvest profits into certain parts of the business or return a portion of such profits to shareholders. The accounting policies of such single operating segment are described in the summary of significant accounting policies. The measure of segment profit or loss is reported on the consolidated statements of comprehensive income. The CODM does not evaluate asset information for purposes of allocating resources or evaluating performance.</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Group primarily operates its business in the New Zealand, Singapore and the United States for the years ended December 31, 2023, 2024 and 2025. The following table presents total revenues by geographic area for the years indicated.</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Intra-companies revenues have been eliminated in this geographic information to reflect the external business conducted in each geographic region. The geographic analysis presented below is based on the location of the subsidiaries in which the transactions are recorded. This geographic information does not reflect the way the Company’s business is managed.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340" w:type="dxa"/>
            <w:vAlign w:val="bottom"/>
          </w:tcPr>
          <w:p>
            <w:pPr>
              <w:spacing w:after="0"/>
              <w:rPr>
                <w:sz w:val="18"/>
                <w:szCs w:val="18"/>
                <w:color w:val="auto"/>
              </w:rPr>
            </w:pPr>
          </w:p>
        </w:tc>
        <w:tc>
          <w:tcPr>
            <w:tcW w:w="130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920" w:type="dxa"/>
            <w:vAlign w:val="bottom"/>
          </w:tcPr>
          <w:p>
            <w:pPr>
              <w:spacing w:after="0"/>
              <w:rPr>
                <w:sz w:val="18"/>
                <w:szCs w:val="18"/>
                <w:color w:val="auto"/>
              </w:rPr>
            </w:pPr>
          </w:p>
        </w:tc>
        <w:tc>
          <w:tcPr>
            <w:tcW w:w="23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4340" w:type="dxa"/>
            <w:vAlign w:val="bottom"/>
          </w:tcPr>
          <w:p>
            <w:pPr>
              <w:spacing w:after="0"/>
              <w:rPr>
                <w:sz w:val="18"/>
                <w:szCs w:val="18"/>
                <w:color w:val="auto"/>
              </w:rPr>
            </w:pPr>
          </w:p>
        </w:tc>
        <w:tc>
          <w:tcPr>
            <w:tcW w:w="130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US$</w:t>
            </w: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Cayman Islands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3,620,687</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3,080,147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2,269,590</w:t>
            </w: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New Zealand</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117,335,988</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147,197,358</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219,594,468</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United States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71,919,756</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124,712,788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156,904,380</w:t>
            </w: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Singapore</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66,705,363</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91,218,902</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163,278,999</w:t>
            </w:r>
          </w:p>
        </w:tc>
        <w:tc>
          <w:tcPr>
            <w:tcW w:w="100" w:type="dxa"/>
            <w:vAlign w:val="bottom"/>
            <w:shd w:val="clear" w:color="auto" w:fill="CFF0FC"/>
          </w:tcPr>
          <w:p>
            <w:pPr>
              <w:spacing w:after="0"/>
              <w:rPr>
                <w:sz w:val="18"/>
                <w:szCs w:val="18"/>
                <w:color w:val="auto"/>
              </w:rPr>
            </w:pPr>
          </w:p>
        </w:tc>
      </w:tr>
      <w:tr>
        <w:trPr>
          <w:trHeight w:val="216"/>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Others</w:t>
            </w:r>
          </w:p>
        </w:tc>
        <w:tc>
          <w:tcPr>
            <w:tcW w:w="1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12,925,801</w:t>
            </w:r>
          </w:p>
        </w:tc>
        <w:tc>
          <w:tcPr>
            <w:tcW w:w="140" w:type="dxa"/>
            <w:vAlign w:val="bottom"/>
          </w:tcPr>
          <w:p>
            <w:pPr>
              <w:spacing w:after="0"/>
              <w:rPr>
                <w:sz w:val="18"/>
                <w:szCs w:val="18"/>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25,332,234</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70,017,480</w:t>
            </w:r>
          </w:p>
        </w:tc>
        <w:tc>
          <w:tcPr>
            <w:tcW w:w="100" w:type="dxa"/>
            <w:vAlign w:val="bottom"/>
          </w:tcPr>
          <w:p>
            <w:pPr>
              <w:spacing w:after="0"/>
              <w:rPr>
                <w:sz w:val="18"/>
                <w:szCs w:val="18"/>
                <w:color w:val="auto"/>
              </w:rPr>
            </w:pPr>
          </w:p>
        </w:tc>
      </w:tr>
      <w:tr>
        <w:trPr>
          <w:trHeight w:val="250"/>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3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272,507,595</w:t>
            </w:r>
          </w:p>
        </w:tc>
        <w:tc>
          <w:tcPr>
            <w:tcW w:w="140" w:type="dxa"/>
            <w:vAlign w:val="bottom"/>
            <w:tcBorders>
              <w:bottom w:val="single" w:sz="8" w:color="CFF0FC"/>
            </w:tcBorders>
            <w:shd w:val="clear" w:color="auto" w:fill="CFF0FC"/>
          </w:tcPr>
          <w:p>
            <w:pPr>
              <w:spacing w:after="0"/>
              <w:rPr>
                <w:sz w:val="21"/>
                <w:szCs w:val="21"/>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391,541,429</w:t>
            </w:r>
          </w:p>
        </w:tc>
        <w:tc>
          <w:tcPr>
            <w:tcW w:w="1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612,064,917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7747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7747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ind w:left="440" w:hanging="432"/>
        <w:spacing w:after="0"/>
        <w:tabs>
          <w:tab w:leader="none" w:pos="4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Group evaluated events subsequent to the balance sheet date of December 31, 2025 through the date of issuance of the consolidated financial statements.</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No subsequent event which had a material impact on the Group was identified through the date of issuance of the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6" w:name="page217"/>
    <w:bookmarkEnd w:id="2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tabs>
          <w:tab w:leader="none" w:pos="460" w:val="left"/>
          <w:tab w:leader="none" w:pos="320" w:val="left"/>
        </w:tabs>
        <w:rPr>
          <w:sz w:val="20"/>
          <w:szCs w:val="20"/>
          <w:color w:val="auto"/>
        </w:rPr>
      </w:pPr>
      <w:r>
        <w:rPr>
          <w:rFonts w:ascii="Arial" w:cs="Arial" w:eastAsia="Arial" w:hAnsi="Arial"/>
          <w:sz w:val="25"/>
          <w:szCs w:val="25"/>
          <w:b w:val="1"/>
          <w:bCs w:val="1"/>
          <w:color w:val="auto"/>
        </w:rPr>
        <w:t>DATED THE</w:t>
      </w:r>
      <w:r>
        <w:rPr>
          <w:sz w:val="20"/>
          <w:szCs w:val="20"/>
          <w:color w:val="auto"/>
        </w:rPr>
        <w:tab/>
      </w:r>
      <w:r>
        <w:rPr>
          <w:rFonts w:ascii="Arial" w:cs="Arial" w:eastAsia="Arial" w:hAnsi="Arial"/>
          <w:sz w:val="25"/>
          <w:szCs w:val="25"/>
          <w:b w:val="1"/>
          <w:bCs w:val="1"/>
          <w:color w:val="auto"/>
        </w:rPr>
        <w:t>DAY OF</w:t>
        <w:tab/>
        <w:t>20 MAR 2025</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OUB CENTRE LIMITED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Landlord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TIGER BROKERS (SINGAPORE) PTE. LTD.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Tenant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LEASE 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w:t>
      </w:r>
    </w:p>
    <w:p>
      <w:pPr>
        <w:jc w:val="center"/>
        <w:spacing w:after="0" w:line="230" w:lineRule="auto"/>
        <w:rPr>
          <w:sz w:val="20"/>
          <w:szCs w:val="20"/>
          <w:color w:val="auto"/>
        </w:rPr>
      </w:pPr>
      <w:r>
        <w:rPr>
          <w:rFonts w:ascii="Arial" w:cs="Arial" w:eastAsia="Arial" w:hAnsi="Arial"/>
          <w:sz w:val="22"/>
          <w:szCs w:val="22"/>
          <w:b w:val="1"/>
          <w:bCs w:val="1"/>
          <w:color w:val="auto"/>
        </w:rPr>
        <w:t>UNIT NO. #20-63/64, TOWER 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ONE RAFFLES PLACE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 KOK QUAN PARTNERSHIP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Wallich Street #07-02</w:t>
      </w:r>
    </w:p>
    <w:p>
      <w:pPr>
        <w:jc w:val="center"/>
        <w:spacing w:after="0" w:line="234" w:lineRule="auto"/>
        <w:rPr>
          <w:sz w:val="20"/>
          <w:szCs w:val="20"/>
          <w:color w:val="auto"/>
        </w:rPr>
      </w:pPr>
      <w:r>
        <w:rPr>
          <w:rFonts w:ascii="Arial" w:cs="Arial" w:eastAsia="Arial" w:hAnsi="Arial"/>
          <w:sz w:val="18"/>
          <w:szCs w:val="18"/>
          <w:color w:val="auto"/>
        </w:rPr>
        <w:t>Guoco Tower</w:t>
      </w:r>
    </w:p>
    <w:p>
      <w:pPr>
        <w:jc w:val="center"/>
        <w:spacing w:after="0" w:line="235" w:lineRule="auto"/>
        <w:rPr>
          <w:sz w:val="20"/>
          <w:szCs w:val="20"/>
          <w:color w:val="auto"/>
        </w:rPr>
      </w:pPr>
      <w:r>
        <w:rPr>
          <w:rFonts w:ascii="Arial" w:cs="Arial" w:eastAsia="Arial" w:hAnsi="Arial"/>
          <w:sz w:val="18"/>
          <w:szCs w:val="18"/>
          <w:color w:val="auto"/>
        </w:rPr>
        <w:t>Singapore 078881</w:t>
      </w:r>
    </w:p>
    <w:p>
      <w:pPr>
        <w:jc w:val="center"/>
        <w:spacing w:after="0" w:line="235" w:lineRule="auto"/>
        <w:rPr>
          <w:sz w:val="20"/>
          <w:szCs w:val="20"/>
          <w:color w:val="auto"/>
        </w:rPr>
      </w:pPr>
      <w:r>
        <w:rPr>
          <w:rFonts w:ascii="Arial" w:cs="Arial" w:eastAsia="Arial" w:hAnsi="Arial"/>
          <w:sz w:val="18"/>
          <w:szCs w:val="18"/>
          <w:color w:val="auto"/>
        </w:rPr>
        <w:t>Telephone: (65) 6225 9333</w:t>
      </w:r>
    </w:p>
    <w:p>
      <w:pPr>
        <w:jc w:val="center"/>
        <w:spacing w:after="0" w:line="235" w:lineRule="auto"/>
        <w:rPr>
          <w:sz w:val="20"/>
          <w:szCs w:val="20"/>
          <w:color w:val="auto"/>
        </w:rPr>
      </w:pPr>
      <w:r>
        <w:rPr>
          <w:rFonts w:ascii="Arial" w:cs="Arial" w:eastAsia="Arial" w:hAnsi="Arial"/>
          <w:sz w:val="18"/>
          <w:szCs w:val="18"/>
          <w:color w:val="auto"/>
        </w:rPr>
        <w:t>Facsimile: (65) 6225 0111</w:t>
      </w:r>
    </w:p>
    <w:p>
      <w:pPr>
        <w:jc w:val="center"/>
        <w:spacing w:after="0"/>
        <w:rPr>
          <w:sz w:val="20"/>
          <w:szCs w:val="20"/>
          <w:color w:val="auto"/>
        </w:rPr>
      </w:pPr>
      <w:r>
        <w:rPr>
          <w:rFonts w:ascii="Arial" w:cs="Arial" w:eastAsia="Arial" w:hAnsi="Arial"/>
          <w:sz w:val="18"/>
          <w:szCs w:val="18"/>
          <w:color w:val="auto"/>
        </w:rPr>
        <w:t>Website: http://www.tkqp.com.sg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876300</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17" w:name="page218"/>
    <w:bookmarkEnd w:id="217"/>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LEASE AGREEMENT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CONTENTS</w:t>
      </w:r>
    </w:p>
    <w:p>
      <w:pPr>
        <w:spacing w:after="0" w:line="200" w:lineRule="exact"/>
        <w:rPr>
          <w:sz w:val="20"/>
          <w:szCs w:val="20"/>
          <w:color w:val="auto"/>
        </w:rPr>
      </w:pPr>
    </w:p>
    <w:p>
      <w:pPr>
        <w:spacing w:after="0" w:line="223" w:lineRule="exact"/>
        <w:rPr>
          <w:sz w:val="20"/>
          <w:szCs w:val="20"/>
          <w:color w:val="auto"/>
        </w:rPr>
      </w:pPr>
    </w:p>
    <w:p>
      <w:pPr>
        <w:spacing w:after="0"/>
        <w:tabs>
          <w:tab w:leader="none" w:pos="2540" w:val="left"/>
        </w:tabs>
        <w:rPr>
          <w:sz w:val="20"/>
          <w:szCs w:val="20"/>
          <w:color w:val="auto"/>
        </w:rPr>
      </w:pPr>
      <w:r>
        <w:rPr>
          <w:rFonts w:ascii="Arial" w:cs="Arial" w:eastAsia="Arial" w:hAnsi="Arial"/>
          <w:sz w:val="18"/>
          <w:szCs w:val="18"/>
          <w:b w:val="1"/>
          <w:bCs w:val="1"/>
          <w:color w:val="auto"/>
        </w:rPr>
        <w:t>AN AGREEMENT made this</w:t>
      </w:r>
      <w:r>
        <w:rPr>
          <w:sz w:val="20"/>
          <w:szCs w:val="20"/>
          <w:color w:val="auto"/>
        </w:rPr>
        <w:tab/>
      </w:r>
      <w:r>
        <w:rPr>
          <w:rFonts w:ascii="Arial" w:cs="Arial" w:eastAsia="Arial" w:hAnsi="Arial"/>
          <w:sz w:val="17"/>
          <w:szCs w:val="17"/>
          <w:b w:val="1"/>
          <w:bCs w:val="1"/>
          <w:color w:val="auto"/>
        </w:rPr>
        <w:t>20 MAR 2025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OUB CENTRE LIMITED (Company Registration No. 198002010D), a Company incorporated in Singapore and having its registered office at 1 Raffles Place, #08-00 One Raffles Place Singapore 048616 (hereinafter called the "Landlord" which expression shall where the context so admits include the person or company for the time being entitled to the reversion immediately expectant on the term hereby created) of the one part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TIGER BROKERS (SINGAPORE) PTE. LTD. (Company Registration No. 201810449W), a company incorporated in the Republic of Singapore and having its registered office at 1 Raffles Place #35-61 One Raffles Place Singapore 048616 (hereinafter called the "Tenant") of the other part.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WHEREBY IT IS AGREED as follows:</w:t>
      </w:r>
    </w:p>
    <w:p>
      <w:pPr>
        <w:spacing w:after="0" w:line="104" w:lineRule="exact"/>
        <w:rPr>
          <w:sz w:val="20"/>
          <w:szCs w:val="20"/>
          <w:color w:val="auto"/>
        </w:rPr>
      </w:pPr>
    </w:p>
    <w:p>
      <w:pPr>
        <w:ind w:left="400" w:hanging="392"/>
        <w:spacing w:after="0"/>
        <w:tabs>
          <w:tab w:leader="none" w:pos="40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DEMISE AND PAYMENT</w:t>
      </w:r>
    </w:p>
    <w:p>
      <w:pPr>
        <w:spacing w:after="0" w:line="104"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Demise</w:t>
      </w:r>
    </w:p>
    <w:p>
      <w:pPr>
        <w:spacing w:after="0" w:line="9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Landlord lets and the Tenant takes ALL that premises and the appurtenances thereto belonging (hereinafter called "Demised Premises") more particularly described in the First Schedule hereto and being part of the commercial development comprising both office and retail space located at 1 Raffles Place, Singapore 048616 and known as "ONE RAFFLES PLACE" Singapore (hereinafter called "Building") for the term (hereinafter referred to as "Term") commencing on the date specified in the First Schedule hereto Together with the right for the Tenant, others duly authorised by the Tenant in common with the Landlord and all others so authorised by the Landlord and all others so entitled thereto at all times during the Term for all purposes connected with the use of the Demised Premises but not for any other purposes and, subject to the provisions of this Agreement:-</w:t>
      </w:r>
    </w:p>
    <w:p>
      <w:pPr>
        <w:spacing w:after="0" w:line="77" w:lineRule="exact"/>
        <w:rPr>
          <w:sz w:val="20"/>
          <w:szCs w:val="20"/>
          <w:color w:val="auto"/>
        </w:rPr>
      </w:pPr>
    </w:p>
    <w:p>
      <w:pPr>
        <w:ind w:left="1160" w:hanging="403"/>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use the service road the usual entrances and the staircases and landings leading to and from the Demised Premises;</w:t>
      </w:r>
    </w:p>
    <w:p>
      <w:pPr>
        <w:spacing w:after="0" w:line="76" w:lineRule="exact"/>
        <w:rPr>
          <w:rFonts w:ascii="Arial" w:cs="Arial" w:eastAsia="Arial" w:hAnsi="Arial"/>
          <w:sz w:val="18"/>
          <w:szCs w:val="18"/>
          <w:color w:val="auto"/>
        </w:rPr>
      </w:pPr>
    </w:p>
    <w:p>
      <w:pPr>
        <w:ind w:left="1160" w:hanging="403"/>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use the lifts and escalators provided in the Building;</w:t>
      </w:r>
    </w:p>
    <w:p>
      <w:pPr>
        <w:spacing w:after="0" w:line="90" w:lineRule="exact"/>
        <w:rPr>
          <w:rFonts w:ascii="Arial" w:cs="Arial" w:eastAsia="Arial" w:hAnsi="Arial"/>
          <w:sz w:val="18"/>
          <w:szCs w:val="18"/>
          <w:color w:val="auto"/>
        </w:rPr>
      </w:pPr>
    </w:p>
    <w:p>
      <w:pPr>
        <w:ind w:left="1160" w:hanging="403"/>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use such lavatory and toilet facilities within the Building as shall be designated from time to time by the Landlord; and</w:t>
      </w:r>
    </w:p>
    <w:p>
      <w:pPr>
        <w:spacing w:after="0" w:line="90" w:lineRule="exact"/>
        <w:rPr>
          <w:rFonts w:ascii="Arial" w:cs="Arial" w:eastAsia="Arial" w:hAnsi="Arial"/>
          <w:sz w:val="18"/>
          <w:szCs w:val="18"/>
          <w:color w:val="auto"/>
        </w:rPr>
      </w:pPr>
    </w:p>
    <w:p>
      <w:pPr>
        <w:ind w:left="760" w:right="20" w:hanging="3"/>
        <w:spacing w:after="0" w:line="271" w:lineRule="auto"/>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enjoy the benefit of the air-conditioning system in the common parts of the Building provided by the Landlord in accordance with Clause 4.6 hereinafter appearing.</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Excepting and Reserving unto the Landlord and all others entitled thereto the rights reserved in the Second Schedule.</w:t>
      </w:r>
    </w:p>
    <w:p>
      <w:pPr>
        <w:spacing w:after="0" w:line="104"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u w:val="single" w:color="auto"/>
          <w:color w:val="auto"/>
        </w:rPr>
        <w:t>Rent and Service Charge</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Tenant shall pay to the Landlord as a separate and independent obligation promptly on their due date the following sums for each month (or other prorated period) during the whole of the Term: -</w:t>
      </w:r>
    </w:p>
    <w:p>
      <w:pPr>
        <w:spacing w:after="0" w:line="46" w:lineRule="exact"/>
        <w:rPr>
          <w:sz w:val="20"/>
          <w:szCs w:val="20"/>
          <w:color w:val="auto"/>
        </w:rPr>
      </w:pPr>
    </w:p>
    <w:p>
      <w:pPr>
        <w:ind w:left="1160" w:hanging="403"/>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monthly rent (hereinafter referred to as "Rent") as specified in the First Schedule; and</w:t>
      </w:r>
    </w:p>
    <w:p>
      <w:pPr>
        <w:spacing w:after="0" w:line="90" w:lineRule="exact"/>
        <w:rPr>
          <w:rFonts w:ascii="Arial" w:cs="Arial" w:eastAsia="Arial" w:hAnsi="Arial"/>
          <w:sz w:val="18"/>
          <w:szCs w:val="18"/>
          <w:color w:val="auto"/>
        </w:rPr>
      </w:pPr>
    </w:p>
    <w:p>
      <w:pPr>
        <w:jc w:val="both"/>
        <w:ind w:left="760" w:hanging="3"/>
        <w:spacing w:after="0" w:line="247" w:lineRule="auto"/>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monthly service charge (hereinafter referred to as "Service Charge") as specified in the First Schedule (subject to adjustment pursuant to Clause 3.4) for the cleaning lighting air-conditioning ventilation upkeep maintenance and repair of the common parts of the Building and for the maintenance upkeep and operation of the services supplied and used in the Building and all costs expenses and outgoings as specified in the Third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26"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u w:val="single" w:color="auto"/>
          <w:color w:val="auto"/>
        </w:rPr>
        <w:t>Taxes and Duties</w:t>
      </w:r>
    </w:p>
    <w:p>
      <w:pPr>
        <w:spacing w:after="0" w:line="7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Rent, Service Charge and other sums expressed to be payable by the Tenant under this Agreement shall be exclusive of Taxes (as defined in Clause 3.2.2(i)) and the Tenant shall pay all such Taxes in the manner and within the time prescribed hereunder, or if no express provisions are made herein, then within the period prescribed in accordance with the applicable laws and regulations.</w:t>
      </w:r>
    </w:p>
    <w:p>
      <w:pPr>
        <w:spacing w:after="0" w:line="61"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u w:val="single" w:color="auto"/>
          <w:color w:val="auto"/>
        </w:rPr>
        <w:t>Payment</w:t>
      </w:r>
    </w:p>
    <w:p>
      <w:pPr>
        <w:spacing w:after="0" w:line="9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Rent, Service Charge and GST thereon shall be paid monthly in advance on the first day of each month (each a "Monthly Payment Date") during the Term without any demand abatement, deduction and/or setoff whatsoever. Provided that the first payment of Rent and Service Charge together with GST payable thereon shall be an amount equivalent to the proportionate amount of Rent and Service Charge for the period from the commencement date of the Term until the end of the first complete calendar month of the Term and shall be paid on or before the commencement date of the Term. Subsequent payments of Rent, Service Charge and GST thereon shall be made on each succeeding Monthly Payment Date to such bank account of the Landlord by GIRO or in such other manner, as may be prescribed by the Landlord from time to time and notified to the Tenant in writing.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1A. PROVISION(S) RELATING TO FITTING OUT PERIOD</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1A.1 </w:t>
      </w:r>
      <w:r>
        <w:rPr>
          <w:rFonts w:ascii="Arial" w:cs="Arial" w:eastAsia="Arial" w:hAnsi="Arial"/>
          <w:sz w:val="18"/>
          <w:szCs w:val="18"/>
          <w:u w:val="single" w:color="auto"/>
          <w:color w:val="auto"/>
        </w:rPr>
        <w:t>Claw Back</w:t>
      </w:r>
    </w:p>
    <w:p>
      <w:pPr>
        <w:spacing w:after="0" w:line="9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the event that the Term is prematurely terminated by the Tenant after the Fitting Out Period (as defined in the Letter of Offer and as specified in the First Schedule) for any reason whatsoever or this Lease is determined by the Landlord in consequence of the Tenant's breach of any term of this Agreement, then in addition to and without prejudice to any other rights or remedies of the Landlord, the Tenant shall compensate and pay to the Landlord on demand for the grant of the Fitting Out Period, an amount equivalent to the Rent and Service Charge at the rate payable hereunder for a period equivalent to the duration of the Fitting Out Period, as if the Fitting Out Period had constituted part of the Term.</w:t>
      </w:r>
    </w:p>
    <w:p>
      <w:pPr>
        <w:spacing w:after="0" w:line="71" w:lineRule="exact"/>
        <w:rPr>
          <w:sz w:val="20"/>
          <w:szCs w:val="20"/>
          <w:color w:val="auto"/>
        </w:rPr>
      </w:pPr>
    </w:p>
    <w:p>
      <w:pPr>
        <w:ind w:left="400" w:hanging="392"/>
        <w:spacing w:after="0"/>
        <w:tabs>
          <w:tab w:leader="none" w:pos="4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DEPOSIT</w:t>
      </w:r>
    </w:p>
    <w:p>
      <w:pPr>
        <w:spacing w:after="0" w:line="104"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u w:val="single" w:color="auto"/>
          <w:color w:val="auto"/>
        </w:rPr>
        <w:t>Deposit</w:t>
      </w:r>
    </w:p>
    <w:p>
      <w:pPr>
        <w:spacing w:after="0" w:line="77" w:lineRule="exact"/>
        <w:rPr>
          <w:sz w:val="20"/>
          <w:szCs w:val="20"/>
          <w:color w:val="auto"/>
        </w:rPr>
      </w:pPr>
    </w:p>
    <w:p>
      <w:pPr>
        <w:jc w:val="both"/>
        <w:ind w:left="760" w:hanging="3"/>
        <w:spacing w:after="0" w:line="239" w:lineRule="auto"/>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Upon the execution of this Agreement or within the time prescribed in the Letter of Offer referred to in Clause 6.4 (whichever is earlier), the Tenant shall pay to the Landlord the sum stated in the First Schedule (hereinafter called the "Deposit") as security for the due performance and observance by the Tenant of all and singular the several stipulations and conditions on the part of the Tenant herein contained and if the Tenant shall fail to perform and observe any stipulations and conditions, the Landlord shall be entitled but not obliged to apply the Deposit or such part thereof as may be necessary to remedy such default and thereupon the Tenant shall on demand by the Landlord deposit with the Landlord the amount applied by the Landlord from the Deposit within seven (7) days of the Landlord's written request. In the event of re-entry or determination by the Landlord pursuant to Clause 5.3 hereof, the Deposit may be beneficially retained by the Landlord without prejudice to any other remedy which the Landlord may be entitled to.</w:t>
      </w:r>
    </w:p>
    <w:p>
      <w:pPr>
        <w:spacing w:after="0" w:line="61" w:lineRule="exact"/>
        <w:rPr>
          <w:rFonts w:ascii="Arial" w:cs="Arial" w:eastAsia="Arial" w:hAnsi="Arial"/>
          <w:sz w:val="18"/>
          <w:szCs w:val="18"/>
          <w:color w:val="auto"/>
        </w:rPr>
      </w:pPr>
    </w:p>
    <w:p>
      <w:pPr>
        <w:jc w:val="both"/>
        <w:ind w:left="760" w:hanging="3"/>
        <w:spacing w:after="0" w:line="247" w:lineRule="auto"/>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the Tenant shall duly perform and observe the said stipulations and conditions as aforesaid, the Landlord shall within one (1) month of (a) the expiration of the Term; (b) the yielding up of the Demised Premises properly reinstated in accordance with the terms of this Agreement, or (c) the determination of all contingent liability of the Tenant (if applicable), whichever is the latest, refund the Deposit (less all proper deductions made pursuant to the terms of this Agreement) without interest to the Tenant.</w:t>
      </w:r>
    </w:p>
    <w:p>
      <w:pPr>
        <w:spacing w:after="0" w:line="52" w:lineRule="exact"/>
        <w:rPr>
          <w:rFonts w:ascii="Arial" w:cs="Arial" w:eastAsia="Arial" w:hAnsi="Arial"/>
          <w:sz w:val="18"/>
          <w:szCs w:val="18"/>
          <w:color w:val="auto"/>
        </w:rPr>
      </w:pPr>
    </w:p>
    <w:p>
      <w:pPr>
        <w:ind w:left="760" w:hanging="3"/>
        <w:spacing w:after="0" w:line="271" w:lineRule="auto"/>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Deposit shall be maintained at a figure which is calculated based on the formula stated in the First Schedule and shall not be treated as payment of Rent, Service Charge or other sum payable by the Tenant under this Agreement.</w:t>
      </w:r>
    </w:p>
    <w:p>
      <w:pPr>
        <w:spacing w:after="0" w:line="18" w:lineRule="exact"/>
        <w:rPr>
          <w:rFonts w:ascii="Arial" w:cs="Arial" w:eastAsia="Arial" w:hAnsi="Arial"/>
          <w:sz w:val="18"/>
          <w:szCs w:val="18"/>
          <w:color w:val="auto"/>
        </w:rPr>
      </w:pPr>
    </w:p>
    <w:p>
      <w:pPr>
        <w:jc w:val="both"/>
        <w:ind w:left="760" w:hanging="3"/>
        <w:spacing w:after="0" w:line="253" w:lineRule="auto"/>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at any time during the Term the Landlord shall assign transfer or otherwise dispose of the Demised Premises to a third party, the Tenant shall agree to the Landlord transferring the Deposit to the third party and shall release the Landlord from the obligation to refund the Deposit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920750</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9" w:name="page220"/>
    <w:bookmarkEnd w:id="219"/>
    <w:p>
      <w:pPr>
        <w:ind w:left="760"/>
        <w:spacing w:after="0"/>
        <w:rPr>
          <w:sz w:val="20"/>
          <w:szCs w:val="20"/>
          <w:color w:val="auto"/>
        </w:rPr>
      </w:pPr>
      <w:r>
        <w:rPr>
          <w:rFonts w:ascii="Arial" w:cs="Arial" w:eastAsia="Arial" w:hAnsi="Arial"/>
          <w:sz w:val="18"/>
          <w:szCs w:val="18"/>
          <w:color w:val="auto"/>
        </w:rPr>
        <w:t>balance thereof to the Tenant and from all obligations and liabilities whatsoever relating to the Deposit.</w:t>
      </w:r>
    </w:p>
    <w:p>
      <w:pPr>
        <w:spacing w:after="0" w:line="90"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u w:val="single" w:color="auto"/>
          <w:color w:val="auto"/>
        </w:rPr>
        <w:t>Increase in Deposit</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the Rent and/or Service Charge is/are increased in accordance with the provisions of this Agreement then the Deposit shall be increased proportionately and the Tenant shall pay such increase in the Deposit within fourteen (14) days of the receipt of written notice from the Landlord notifying the Tenant of the amount of such increase payable. The amount of such increase payable by the Tenant as specified in the Landlord's said notice shall be accepted by the Tenant as correct final and conclusive save for manifest error.</w:t>
      </w:r>
    </w:p>
    <w:p>
      <w:pPr>
        <w:spacing w:after="0" w:line="66" w:lineRule="exact"/>
        <w:rPr>
          <w:sz w:val="20"/>
          <w:szCs w:val="20"/>
          <w:color w:val="auto"/>
        </w:rPr>
      </w:pPr>
    </w:p>
    <w:p>
      <w:pPr>
        <w:ind w:left="400" w:hanging="392"/>
        <w:spacing w:after="0"/>
        <w:tabs>
          <w:tab w:leader="none" w:pos="4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TENANT'S COVENANTS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Tenant hereby agrees with the Landlord as follows:-</w:t>
      </w:r>
    </w:p>
    <w:p>
      <w:pPr>
        <w:spacing w:after="0" w:line="104"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Rent, Service Charge, Taxes and increase in Deposit</w:t>
      </w:r>
    </w:p>
    <w:p>
      <w:pPr>
        <w:spacing w:after="0" w:line="90" w:lineRule="exact"/>
        <w:rPr>
          <w:sz w:val="20"/>
          <w:szCs w:val="20"/>
          <w:color w:val="auto"/>
        </w:rPr>
      </w:pPr>
    </w:p>
    <w:p>
      <w:pPr>
        <w:ind w:left="760" w:right="1800" w:hanging="748"/>
        <w:spacing w:after="0" w:line="352" w:lineRule="auto"/>
        <w:rPr>
          <w:sz w:val="20"/>
          <w:szCs w:val="20"/>
          <w:color w:val="auto"/>
        </w:rPr>
      </w:pPr>
      <w:r>
        <w:rPr>
          <w:rFonts w:ascii="Arial" w:cs="Arial" w:eastAsia="Arial" w:hAnsi="Arial"/>
          <w:sz w:val="18"/>
          <w:szCs w:val="18"/>
          <w:color w:val="auto"/>
        </w:rPr>
        <w:t xml:space="preserve">To pay the Rent, Service Charge, Taxes and increases, if any, in the Deposit on the days and in the manner aforesaid. 3.2 </w:t>
      </w:r>
      <w:r>
        <w:rPr>
          <w:rFonts w:ascii="Arial" w:cs="Arial" w:eastAsia="Arial" w:hAnsi="Arial"/>
          <w:sz w:val="18"/>
          <w:szCs w:val="18"/>
          <w:u w:val="single" w:color="auto"/>
          <w:color w:val="auto"/>
        </w:rPr>
        <w:t>Tax</w:t>
      </w:r>
    </w:p>
    <w:p>
      <w:pPr>
        <w:ind w:left="760"/>
        <w:spacing w:after="0"/>
        <w:tabs>
          <w:tab w:leader="none" w:pos="154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7"/>
          <w:szCs w:val="17"/>
          <w:b w:val="1"/>
          <w:bCs w:val="1"/>
          <w:color w:val="auto"/>
        </w:rPr>
        <w:t>Property Tax</w:t>
      </w:r>
    </w:p>
    <w:p>
      <w:pPr>
        <w:spacing w:after="0" w:line="7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Property tax in respect of the Demised Premises or attributed to the Demised Premises whether imposed or levied during or after the expiry of the Term or retrospectively so long as imposed or levied in relation to any period during the Term shall be payable as follows:-</w:t>
      </w:r>
    </w:p>
    <w:p>
      <w:pPr>
        <w:spacing w:after="0" w:line="46" w:lineRule="exact"/>
        <w:rPr>
          <w:sz w:val="20"/>
          <w:szCs w:val="20"/>
          <w:color w:val="auto"/>
        </w:rPr>
      </w:pPr>
    </w:p>
    <w:p>
      <w:pPr>
        <w:jc w:val="both"/>
        <w:ind w:left="760" w:hanging="3"/>
        <w:spacing w:after="0" w:line="253" w:lineRule="auto"/>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Landlord shall pay property tax in relation to the Term for each Tax Year during the Term at the amount ("Base Property Tax Amount") (a) that is actually payable to the relevant authority for that Tax Year or (b) that is computed as follows (whichever is the lower):</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x B</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Where:</w:t>
      </w:r>
    </w:p>
    <w:p>
      <w:pPr>
        <w:spacing w:after="0" w:line="90" w:lineRule="exact"/>
        <w:rPr>
          <w:sz w:val="20"/>
          <w:szCs w:val="20"/>
          <w:color w:val="auto"/>
        </w:rPr>
      </w:pPr>
    </w:p>
    <w:p>
      <w:pPr>
        <w:ind w:left="760" w:right="400"/>
        <w:spacing w:after="0" w:line="336" w:lineRule="auto"/>
        <w:rPr>
          <w:sz w:val="20"/>
          <w:szCs w:val="20"/>
          <w:color w:val="auto"/>
        </w:rPr>
      </w:pPr>
      <w:r>
        <w:rPr>
          <w:rFonts w:ascii="Arial" w:cs="Arial" w:eastAsia="Arial" w:hAnsi="Arial"/>
          <w:sz w:val="18"/>
          <w:szCs w:val="18"/>
          <w:color w:val="auto"/>
        </w:rPr>
        <w:t>A is the aggregate of the actual monthly Rent received by the Landlord from the Tenant for all the months in that Tax Year; and B is the property tax rate as at the commencement date of the Term.</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In this connection, a "Tax Year" means a period during the Term commencing on the first day of January of each year and ending at midnight on the 31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day of December of the same year, except that the first Tax Year shall commence on the commencement date of the Term and end on 31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December of that year and the last Tax Year shall commence on the last 1st January of the Term and end at the expiration or sooner determination of the Term.</w:t>
      </w:r>
    </w:p>
    <w:p>
      <w:pPr>
        <w:spacing w:after="0" w:line="72" w:lineRule="exact"/>
        <w:rPr>
          <w:sz w:val="20"/>
          <w:szCs w:val="20"/>
          <w:color w:val="auto"/>
        </w:rPr>
      </w:pPr>
    </w:p>
    <w:p>
      <w:pPr>
        <w:jc w:val="both"/>
        <w:ind w:left="760" w:hanging="3"/>
        <w:spacing w:after="0" w:line="242" w:lineRule="auto"/>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Tenant shall on demand pay such property tax relating to the Term being any additional and/or increase in property tax over and above the Base Property Tax Amount payable by the Landlord under sub-Clause (i) above, whether such additional and/or increase in property tax is due to an increase in the rate of tax imposed by the relevant authority above the rate applicable as at the date of commencement of the Term and/or due to the annual value of the Demised Premises being more than the aggregate of the actual monthly Rent received by the Landlord from the Tenant for all the months in that Tax Year and/or any new imposition or levy (including surcharge on property tax) by whatever name called and/or due to any other reason whatsoever.</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Objection to any assessment of annual value or imposition of property tax on the Demised Premises during the Term may be made only by the Landlord in its sole discretion.</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Landlord shall decide not to object to the assessment of annual value or imposition of property tax for any period the Landlord may but shall not be obliged to permit the Tenant to object to such assessment or imposition in the name of the Landlord at the Tenant's cost and expense in respect thereof.</w:t>
      </w:r>
    </w:p>
    <w:p>
      <w:pPr>
        <w:spacing w:after="0" w:line="61" w:lineRule="exact"/>
        <w:rPr>
          <w:sz w:val="20"/>
          <w:szCs w:val="20"/>
          <w:color w:val="auto"/>
        </w:rPr>
      </w:pPr>
    </w:p>
    <w:p>
      <w:pPr>
        <w:ind w:left="760"/>
        <w:spacing w:after="0"/>
        <w:tabs>
          <w:tab w:leader="none" w:pos="154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7"/>
          <w:szCs w:val="17"/>
          <w:b w:val="1"/>
          <w:bCs w:val="1"/>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948055</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0" w:name="page221"/>
    <w:bookmarkEnd w:id="220"/>
    <w:p>
      <w:pPr>
        <w:jc w:val="both"/>
        <w:ind w:left="1500" w:firstLine="5"/>
        <w:spacing w:after="0" w:line="242" w:lineRule="auto"/>
        <w:tabs>
          <w:tab w:leader="none" w:pos="1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Tenant shall pay all taxes, duties, assessments or impositions including, but not limited to any goods and services tax (herein called "GST"), value added tax or such other consumption tax, by whatever name called which may be leviable or levied or imposed under any statutory provision or enactment on or in respect of the Rent, Service Charge, Promotional Fee (if applicable) and any other monies due and payable under this Agreement (herein collectively called "Taxes") irrespective of whether such Taxes are levied or imposed during or retrospectively after the Term so long as they relate to any period during the Term or any period of holding over by the Tenant.</w:t>
      </w:r>
    </w:p>
    <w:p>
      <w:pPr>
        <w:spacing w:after="0" w:line="57" w:lineRule="exact"/>
        <w:rPr>
          <w:rFonts w:ascii="Arial" w:cs="Arial" w:eastAsia="Arial" w:hAnsi="Arial"/>
          <w:sz w:val="18"/>
          <w:szCs w:val="18"/>
          <w:color w:val="auto"/>
        </w:rPr>
      </w:pPr>
    </w:p>
    <w:p>
      <w:pPr>
        <w:jc w:val="both"/>
        <w:ind w:left="1500" w:firstLine="5"/>
        <w:spacing w:after="0"/>
        <w:tabs>
          <w:tab w:leader="none" w:pos="1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the Landlord (or any other person on its behalf) is required by law to make any deduction or withholding or to make any payment, on account of such Taxes, from or calculated by reference to the amount of any sum received or receivable by the Landlord under this Agreement: (a) the Tenant shall pay all such Taxes on receipt of written notice from the Landlord; and (b) the sum payable by the Tenant in respect of which the relevant deduction, withholding or payment is required or made on account of such Taxes, shall be increased to the extent necessary to ensure that after the making of that deduction, withholding or payment, the Landlord receives on due date and retains a net sum equal to what it would have received and so retained had no such deduction, withholding or payment been required or made.</w:t>
      </w:r>
    </w:p>
    <w:p>
      <w:pPr>
        <w:spacing w:after="0" w:line="50"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Utilities Charges</w:t>
      </w:r>
    </w:p>
    <w:p>
      <w:pPr>
        <w:spacing w:after="0" w:line="90" w:lineRule="exact"/>
        <w:rPr>
          <w:sz w:val="20"/>
          <w:szCs w:val="20"/>
          <w:color w:val="auto"/>
        </w:rPr>
      </w:pPr>
    </w:p>
    <w:p>
      <w:pPr>
        <w:jc w:val="both"/>
        <w:ind w:left="760" w:hanging="3"/>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Tenant shall bear all charges and taxes in respect of all utilities, telecommunication facilities and other services supplied to and consumed at the Demised Premises (even during the Fitting Out Period as defined in the Letter of Offer) including transportation and transmission charges for the supply and hire charges for any equipment or appliances supplied to the Tenant in respect of such supply. Where such charges or taxes are not invoiced or metered separately to the Demised Premises, the Tenant shall pay to the Landlord a proportionate part of the cost of the services, facilities or utilities so supplied and attributable to the Demised Premises as calculated and apportioned to the Demised Premises by the Landlord. The Landlord's written statement and notification of such apportioned costs to the Tenant shall be conclusive as to the amount thereof except for manifest error. Such apportioned charges shall be payable within fourteen (14) days of demand from the Landlord.</w:t>
      </w:r>
    </w:p>
    <w:p>
      <w:pPr>
        <w:spacing w:after="0" w:line="58" w:lineRule="exact"/>
        <w:rPr>
          <w:rFonts w:ascii="Arial" w:cs="Arial" w:eastAsia="Arial" w:hAnsi="Arial"/>
          <w:sz w:val="18"/>
          <w:szCs w:val="18"/>
          <w:color w:val="auto"/>
        </w:rPr>
      </w:pPr>
    </w:p>
    <w:p>
      <w:pPr>
        <w:jc w:val="both"/>
        <w:ind w:left="760" w:hanging="3"/>
        <w:spacing w:after="0" w:line="247" w:lineRule="auto"/>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Tenant shall arrange at its own cost with the authorities or service providers for the connection of all such utilities supply and/or telecommunication facilities required by the Tenant and for the installation of any meters or equipment in connection with such supply or facilities in accordance with the Landlord's requirements and the rules and regulations set from time to time by the Landlord regarding such connections and installations.</w:t>
      </w:r>
    </w:p>
    <w:p>
      <w:pPr>
        <w:spacing w:after="0" w:line="39"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u w:val="single" w:color="auto"/>
          <w:color w:val="auto"/>
        </w:rPr>
        <w:t>Increase in Service Charge</w:t>
      </w:r>
    </w:p>
    <w:p>
      <w:pPr>
        <w:spacing w:after="0" w:line="9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event of any increase in the cost to the Landlord of supplying the services for cleaning lighting upkeep maintenance and repair of the common parts of the Building and for the maintenance upkeep and operation of the services supplied and used in the Building or any other relevant cost increase, the Landlord may increase the Service Charge payable under this Agreement, provided that the Landlord shall give the Tenant at least two (2) weeks' notice in writing notifying the Tenant of such increase. The Tenant shall pay to the Landlord the increased Service Charge with effect from the effective date of such increase, at the same time and in the same manner as hereinbefore provided for payment of the Service Charge. The amount of increase in Service Charge specified in the Landlord's notice of such increase shall be accepted by the Tenant as final and conclusive and binding on the Tenant as such save for manifest error.</w:t>
      </w:r>
    </w:p>
    <w:p>
      <w:pPr>
        <w:spacing w:after="0" w:line="77"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u w:val="single" w:color="auto"/>
          <w:color w:val="auto"/>
        </w:rPr>
        <w:t>Tenantable Repair</w:t>
      </w:r>
    </w:p>
    <w:p>
      <w:pPr>
        <w:spacing w:after="0" w:line="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 keep the interior of the Demised Premises including the Tenant's fittings plant furnishings and equipment the flooring and interior plaster or other surface material or rendering on the walls and ceilings and the Landlord's fixtures therein including doors windows wires installations and fittings clean and in good and tenantable repair and condition (fair wear and tear excepted) and to give immediate notice to the Landlord of any damage that may occur or has occurred to the Demised Premises and of any accident to or defects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1" w:name="page222"/>
    <w:bookmarkEnd w:id="221"/>
    <w:p>
      <w:pPr>
        <w:jc w:val="both"/>
        <w:ind w:right="20"/>
        <w:spacing w:after="0" w:line="271" w:lineRule="auto"/>
        <w:rPr>
          <w:sz w:val="20"/>
          <w:szCs w:val="20"/>
          <w:color w:val="auto"/>
        </w:rPr>
      </w:pPr>
      <w:r>
        <w:rPr>
          <w:rFonts w:ascii="Arial" w:cs="Arial" w:eastAsia="Arial" w:hAnsi="Arial"/>
          <w:sz w:val="18"/>
          <w:szCs w:val="18"/>
          <w:color w:val="auto"/>
        </w:rPr>
        <w:t>in the water pipes air-conditioning ducts telephone conduits electrical wiring or fixtures or other facilities whatsoever provided by the Landlord.</w:t>
      </w:r>
    </w:p>
    <w:p>
      <w:pPr>
        <w:spacing w:after="0" w:line="46"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u w:val="single" w:color="auto"/>
          <w:color w:val="auto"/>
        </w:rPr>
        <w:t>Auction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to hold or permit or suffer to be held any sale by auction on or within the Demised Premises.</w:t>
      </w:r>
    </w:p>
    <w:p>
      <w:pPr>
        <w:spacing w:after="0" w:line="104"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u w:val="single" w:color="auto"/>
          <w:color w:val="auto"/>
        </w:rPr>
        <w:t>Windows and Lights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Not to block up darken or obstruct any of the windows or lights belonging to the Demised Premises or to the Landlord.</w:t>
      </w:r>
    </w:p>
    <w:p>
      <w:pPr>
        <w:spacing w:after="0" w:line="104"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7"/>
          <w:szCs w:val="17"/>
          <w:u w:val="single" w:color="auto"/>
          <w:color w:val="auto"/>
        </w:rPr>
        <w:t>No Machinery</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 to bring or allow to be brought on to the Demised Premises or any parts of the Building used in common with the Landlord and its other tenants or occupiers of other parts of the Building any machine or machinery save for typewriters personal computers and such other equipment as are required for the purposes of the Tenant's business.</w:t>
      </w:r>
    </w:p>
    <w:p>
      <w:pPr>
        <w:spacing w:after="0" w:line="61"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7"/>
          <w:szCs w:val="17"/>
          <w:u w:val="single" w:color="auto"/>
          <w:color w:val="auto"/>
        </w:rPr>
        <w:t>Residential Use Prohibited</w:t>
      </w:r>
    </w:p>
    <w:p>
      <w:pPr>
        <w:spacing w:after="0" w:line="9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Not to reside in or permit any person to reside in any part of the Demised Premises or use the same or permit the same to be used for sleeping purposes.</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Cooking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Not to cook or permit anyone to cook any food in the Demised Premises.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Use of Name of Building</w:t>
      </w:r>
    </w:p>
    <w:p>
      <w:pPr>
        <w:spacing w:after="0" w:line="9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Not to use the name "OUB Centre" or "One Raffles Place" or any derivative name sounding similar to either name without the Landlord's prior written consent as a part of the Tenant's name or trade name or to use any picture or likeness of the Building or of the Demised Premises in the Tenant's logo trade mark or other marks, signs or emblem whether for the purpose of the Tenant's trade or otherwise PROVIDED ALWAYS that the Tenant may incorporate references to and illustrations and sketches of the Building in any vouchers, catalogues, advertisements or sales promotion materials relating to the business carried on by the Tenant in the Demised Premises.</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Radio or Television Aerials</w:t>
      </w:r>
    </w:p>
    <w:p>
      <w:pPr>
        <w:spacing w:after="0" w:line="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Not to erect, install or place upon within or without the Demised Premises any radio or television aerial or antenna or any speakers screens or similar devices or equipment without the Landlord's prior written consent and not to use or permit to be used any radio gramophone television or other similar media or equipment that can be heard or seen from outside the Demised Premises without the like consent from the Landlord.</w:t>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Storage, Obstruction and Litter</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Not to store any goods or things upon obstruct litter or make untidy the parts of the Building used in common with the Landlord and the Landlord's other tenants and licensees or occupiers of other parts of the Building.</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Access to the Demised Premises</w:t>
      </w:r>
    </w:p>
    <w:p>
      <w:pPr>
        <w:spacing w:after="0" w:line="9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permit the Landlord and its duly authorised agents with or without workmen and others at all reasonable times to enter upon the Demised Premises and to view the condition thereof and to do such works and things as may be required for any maintenance repairs alterations or improvements to the Demised Premises or any part or parts of the Building and forthwith to repair amend and make good in a proper and workmanlike manner any defects for which the Tenant is liable and of which written notice shall be given to the Tenant or left on the Demised Premises and to pay the Landlord's costs of survey or otherwise in respect of the preparation of such notice and if the Tenant shall not within ten (10) days after the service of such notice proceed diligently with the execution of such repairs or works then the Landlord may enter upon the Demised Premises and execute such repairs or works and the cost thereof shall be a debt due from the Tenant to the Landlord and recoverable forthwith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936625</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2" w:name="page223"/>
    <w:bookmarkEnd w:id="222"/>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Emergency Access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Tenant shall permit the Landlord, its agents and contractors free access into the Demised Premises at all times in cases of emergency.</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Taps, Wash Basins, Water Closets, etc.</w:t>
      </w:r>
    </w:p>
    <w:p>
      <w:pPr>
        <w:spacing w:after="0" w:line="9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To keep all lavatories toilets taps washbasins water closets sinks cisterns pipes wires conduits fittings and apparatus within or exclusively serving the Demised Premises clean and in good order and repair and not to use or permit nor suffer to be used the lavatories toilets taps washbasins water closets sinks cisterns pipes wires conduits fittings and apparatus serving the Demised Premises or the common parts of the Building for any purpose other than those for which they were constructed or provided and shall not deposit or permit to be deposited therein any sweepings rubbish or other matter.</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Alterations and Additions</w:t>
      </w:r>
    </w:p>
    <w:p>
      <w:pPr>
        <w:spacing w:after="0" w:line="9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Not to make or permit to be made during the Term any alterations in or additions to the Demised Premises or any part thereof or the Landlord's fixtures, fittings, decorations and electrical or mechanical installations therein without first having obtained the written consent of the Landlord and to submit all plans and specifications relating thereto to the Landlord for its approval and the Tenant shall at its own expense apply for and obtain all necessary planning and any other consents or approvals pursuant to the provisions of any statute, rule, order, regulation or bye-law applicable thereto in all respects and to comply with the conditions thereof.</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Painting and Cleaning</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Tenant shall, without affecting the generality of the preceding Clause 3.5, Clause 3.16 and Clause 3.44 hereinafter appearing at the Tenant's sole costs and expenses: (i) so often as the Landlord may require but at intervals of not less than three (3) years during the Term paint colour and paper with materials and to standards determined by the Landlord all parts of the Demised Premises which have or ought to have been painted coloured or papered; and (ii) cause the Demised Premises (including internal surfaces of windows and doors) to be cleaned in a proper and workmanlike manner and during the whole of the Term to be kept clean and free from dirt and rubbish and in particular shall store and keep all trade waste trash and garbage in proper receptacles and arrange for the regular removal thereof from the Demised Premises.</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Tenant's Operations</w:t>
      </w:r>
    </w:p>
    <w:p>
      <w:pPr>
        <w:spacing w:after="0" w:line="90" w:lineRule="exact"/>
        <w:rPr>
          <w:sz w:val="20"/>
          <w:szCs w:val="20"/>
          <w:color w:val="auto"/>
        </w:rPr>
      </w:pPr>
    </w:p>
    <w:p>
      <w:pPr>
        <w:ind w:left="760" w:right="40" w:hanging="3"/>
        <w:spacing w:after="0" w:line="271" w:lineRule="auto"/>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Permitted Use: To use the Demised Premises solely and exclusively as and for an office in connection with the Tenant's business.</w:t>
      </w:r>
    </w:p>
    <w:p>
      <w:pPr>
        <w:spacing w:after="0" w:line="32" w:lineRule="exact"/>
        <w:rPr>
          <w:rFonts w:ascii="Arial" w:cs="Arial" w:eastAsia="Arial" w:hAnsi="Arial"/>
          <w:sz w:val="18"/>
          <w:szCs w:val="18"/>
          <w:color w:val="auto"/>
        </w:rPr>
      </w:pPr>
    </w:p>
    <w:p>
      <w:pPr>
        <w:jc w:val="both"/>
        <w:ind w:left="760" w:hanging="3"/>
        <w:spacing w:after="0" w:line="244" w:lineRule="auto"/>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Approvals, Permits, Licences, Registration: The Tenant shall be responsible at the Tenant's costs for obtaining prior to the commencement of the Term, and maintaining throughout the Term and over any period of holding over, all necessary approvals, permits, licences and registration required by law for all aspects of its business and operations at the Demised Premises (including where necessary any change of use), and for complying with all terms and conditions of such approvals, permits, licences and registration.</w:t>
      </w:r>
    </w:p>
    <w:p>
      <w:pPr>
        <w:spacing w:after="0" w:line="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Insurance of Plate Glass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insure and keep insured the plate glass (if any) of the Demised Premises against damage or destruction or any other risk as the Landlord shall require to the full replacement value thereof in the joint names of the Landlord and the Tenant with an insurance company approved by the Landlord.</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Nuisance</w:t>
      </w:r>
    </w:p>
    <w:p>
      <w:pPr>
        <w:spacing w:after="0" w:line="9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Not to use the Demised Premises or any part thereof for any unlawful purpose and not to do or permit to be done any act or thing which may become a nuisance to or give cause for reasonable complaint from the occupants of neighbouring premises or of other parts of the Building.</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Signs and Unsightly Objects</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Not to affix erect paint or otherwise exhibit or permit to be affixed or erected or painted or otherwise exhibited upon any part of the Demised Premises any sign announcement placard poster notice or advertisement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919480</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3" w:name="page224"/>
    <w:bookmarkEnd w:id="223"/>
    <w:p>
      <w:pPr>
        <w:jc w:val="both"/>
        <w:ind w:right="20"/>
        <w:spacing w:after="0" w:line="271" w:lineRule="auto"/>
        <w:rPr>
          <w:sz w:val="20"/>
          <w:szCs w:val="20"/>
          <w:color w:val="auto"/>
        </w:rPr>
      </w:pPr>
      <w:r>
        <w:rPr>
          <w:rFonts w:ascii="Arial" w:cs="Arial" w:eastAsia="Arial" w:hAnsi="Arial"/>
          <w:sz w:val="18"/>
          <w:szCs w:val="18"/>
          <w:color w:val="auto"/>
        </w:rPr>
        <w:t>name plate flag flagstaff or any other thing whatsoever or on the exterior of the Demised Premises or of the windows and doors thereof in or about any part of the Building except such as shall be approved in writing by the Landlord.</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Dangerous Goods and Prohibited Storage</w:t>
      </w:r>
    </w:p>
    <w:p>
      <w:pPr>
        <w:spacing w:after="0" w:line="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Not to store or bring upon the Demised Premises or any part thereof arms ammunition or unlawful goods gun-powder salt-petre chemicals petrol kerosene gas or any goods or things which in the opinion of the Landlord are of an obnoxious dangerous or hazardous nature or any explosive or combustible substance and not to place or leave in the entrance or stairways passages or corridors lobbies or other common parts of the Building any boxes or rubbish or otherwise encumber the same.</w:t>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Windows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keep the windows of the Demised Premises closed at all times so as to maintain an efficient air-conditioning system and not to install or cause to be installed any blinds shades awnings window ventilators air-conditioners and other similar fittings and fixtures in or upon the Demised Premises and visible from outside the Demised Premises except such as shall be approved by the Landlord in writing.</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Sign Board</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Not to erect or put up any sign board except a sign board of the type approved by the Landlord and to erect or put up such approved sign board in a specific part of the Building designated by the Landlord for this purpose.</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Obstruction</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Not to obstruct or cause or suffer to be obstructed or impede in any way the entrance hall lobby staircases landings leading to and from the Demised Premises or any common parts of the Building.</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Avoidance of Insurance Policy and Additional Premium</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Not to do or permit or suffer anything to be done whereby the policy or policies of insurance on the Building against loss or damage by fire for the time being subsisting may become void or voidable or whereby the rate of premium thereon may be increased and to repay to the Landlord all sums paid by way of increased premium or increased contribution for premium and all expenses incurred by the Landlord or contributions therefor in or about the renewal of such policy or policies rendered necessary by a breach or non-observance of this covenant.</w:t>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Foreign Workers / Illegality and Immoral Activities</w:t>
      </w:r>
    </w:p>
    <w:p>
      <w:pPr>
        <w:spacing w:after="0" w:line="90" w:lineRule="exact"/>
        <w:rPr>
          <w:sz w:val="20"/>
          <w:szCs w:val="20"/>
          <w:color w:val="auto"/>
        </w:rPr>
      </w:pPr>
    </w:p>
    <w:p>
      <w:pPr>
        <w:jc w:val="both"/>
        <w:ind w:left="760" w:hanging="3"/>
        <w:spacing w:after="0" w:line="242" w:lineRule="auto"/>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Tenant shall comply with the Employment of Foreign Manpower Act (Cap. 91A) and in particular, the Tenant shall: (i) not employ a foreign worker and/or a foreigner unless the Tenant has obtained a valid work permit or employment pass; (ii) not employ the foreign worker and/or the foreigner otherwise than in accordance with the conditions of the permit; and (iii) where the relevant authority has decided to suspend or cancel the work permit and/or employment pass of the foreign worker and/or foreigner employed by the Tenant, the Tenant shall immediately upon such notification from the relevant authority terminate the services of the foreign worker and/or foreigner.</w:t>
      </w:r>
    </w:p>
    <w:p>
      <w:pPr>
        <w:spacing w:after="0" w:line="57" w:lineRule="exact"/>
        <w:rPr>
          <w:rFonts w:ascii="Arial" w:cs="Arial" w:eastAsia="Arial" w:hAnsi="Arial"/>
          <w:sz w:val="18"/>
          <w:szCs w:val="18"/>
          <w:color w:val="auto"/>
        </w:rPr>
      </w:pPr>
    </w:p>
    <w:p>
      <w:pPr>
        <w:ind w:left="1160" w:hanging="403"/>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Not to do or suffer to be done anything in or upon the Demised Premises or any part thereof of an illegal or immoral nature.</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3.29 </w:t>
      </w:r>
      <w:r>
        <w:rPr>
          <w:rFonts w:ascii="Arial" w:cs="Arial" w:eastAsia="Arial" w:hAnsi="Arial"/>
          <w:sz w:val="18"/>
          <w:szCs w:val="18"/>
          <w:u w:val="single" w:color="auto"/>
          <w:color w:val="auto"/>
        </w:rPr>
        <w:t>Sub-letting and Assignment</w:t>
      </w:r>
    </w:p>
    <w:p>
      <w:pPr>
        <w:spacing w:after="0" w:line="9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Not to assign sub-let license or in any way dispose of or part with possession of the Demised Premises or any part thereof either by way of sub-letting sharing or other means whereby any corporation, person or persons not a party to this Agreement obtains the use or possession of the Demised Premises or any part thereof irrespective of whether or not any rental or other consideration is given for such use or possession. In the event of a breach of this Clause, this Agreement may at the option of the Landlord forthwith be determined and the Tenant shall forthwith surrender the Demised Premises to the Landlord with vacant possession.</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3.30 </w:t>
      </w:r>
      <w:r>
        <w:rPr>
          <w:rFonts w:ascii="Arial" w:cs="Arial" w:eastAsia="Arial" w:hAnsi="Arial"/>
          <w:sz w:val="18"/>
          <w:szCs w:val="18"/>
          <w:u w:val="single" w:color="auto"/>
          <w:color w:val="auto"/>
        </w:rPr>
        <w:t>Use of Escalators and Lifts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948055</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4" w:name="page225"/>
    <w:bookmarkEnd w:id="224"/>
    <w:p>
      <w:pPr>
        <w:ind w:left="760" w:right="40" w:hanging="3"/>
        <w:spacing w:after="0" w:line="271" w:lineRule="auto"/>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Not to place or take into the escalators or passenger lifts any baggage, parcels, sacks, bags, bicycles, bulky or heavy equipment or other goods save such light articles as brief cases, attache cases and handbags.</w:t>
      </w:r>
    </w:p>
    <w:p>
      <w:pPr>
        <w:spacing w:after="0" w:line="32" w:lineRule="exact"/>
        <w:rPr>
          <w:rFonts w:ascii="Arial" w:cs="Arial" w:eastAsia="Arial" w:hAnsi="Arial"/>
          <w:sz w:val="18"/>
          <w:szCs w:val="18"/>
          <w:color w:val="auto"/>
        </w:rPr>
      </w:pPr>
    </w:p>
    <w:p>
      <w:pPr>
        <w:jc w:val="both"/>
        <w:ind w:left="760" w:hanging="3"/>
        <w:spacing w:after="0" w:line="253" w:lineRule="auto"/>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For purposes of delivery of any fittings, equipment, goods and supplies for the Tenant's operations, the Tenant shall ensure that all such delivery are made using, and all its staff, workmen and contractors shall use only the lift lobby and goods lift designated by the Landlord for this purpose.</w:t>
      </w:r>
    </w:p>
    <w:p>
      <w:pPr>
        <w:spacing w:after="0" w:line="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Food</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 without the prior written consent of the Landlord to permit the vendors of food or drink or the servants or agents of such vendors to bring on to the Demised Premises or any part thereof or on to the Building or any part thereof food or drink for consumption by the occupiers of the Demised Premises.</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Employment of Cleaners</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Not to employ or continue to employ any person to clean the Demised Premises other than the cleaning contractor approved by the Landlord to carry out the cleaning work in the Demised Premises.</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Access for Cleaning</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allow the person or persons for the time being having the contract for the cleaning of the Building and his or their servants workmen employees agents contractors or sub-contractors free ingress and egress to the Demised Premises for the purpose of cleaning the exterior of the windows and the toilets in the Demised Premises, if any thereof during normal business hours.</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u w:val="single" w:color="auto"/>
          <w:color w:val="auto"/>
        </w:rPr>
        <w:t>Compliance with Statutes</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all times to comply with all such requirements as may be imposed on the occupier of the Demised Premises by any statute now or hereafter in force and any orders rules requirements regulations and notices thereunder.</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Excess Loading</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 to load or permit or suffer to be loaded on any part of the floors of the Building or the Demised Premises to a weight greater than three hundred fifty (350) kilograms per square metre and shall when required by the Landlord distribute any load on any part of the floor of the Demised Premises in accordance with the direction and requirements of the Landlord.</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Not to Move or Remove Safe Heavy Equipment etc.</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 to move any safe heavy equipment or bulky matter or fixture in or out of the Demised Premises or the Building without the prior written consent of the Landlord and at all times and only with the Landlord's written consent and only during the hours of the day or night permitted by the Landlord and to use only the service lifts for such purposes.</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3.37 </w:t>
      </w:r>
      <w:r>
        <w:rPr>
          <w:rFonts w:ascii="Arial" w:cs="Arial" w:eastAsia="Arial" w:hAnsi="Arial"/>
          <w:sz w:val="18"/>
          <w:szCs w:val="18"/>
          <w:u w:val="single" w:color="auto"/>
          <w:color w:val="auto"/>
        </w:rPr>
        <w:t>Not to Burn Incense or Joss Sticks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 to burn any incense or joss-sticks in outside or around the Demised Premises or any part thereof or in the Building or any part thereof or to cause or permit any odours or smells which are in the Landlord's opinion offensive to be produced upon permeate through or emanate from the Demised Premises.</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3.38 </w:t>
      </w:r>
      <w:r>
        <w:rPr>
          <w:rFonts w:ascii="Arial" w:cs="Arial" w:eastAsia="Arial" w:hAnsi="Arial"/>
          <w:sz w:val="18"/>
          <w:szCs w:val="18"/>
          <w:u w:val="single" w:color="auto"/>
          <w:color w:val="auto"/>
        </w:rPr>
        <w:t>Decor and Design</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ensure that the decor and design of both the interior and exterior of the Demised Premises are in accordance with plans and specifications previously submitted to and approved by the Landlord and not to make any changes to such decor and design without the prior written consent of the Landlord.</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3.39 </w:t>
      </w:r>
      <w:r>
        <w:rPr>
          <w:rFonts w:ascii="Arial" w:cs="Arial" w:eastAsia="Arial" w:hAnsi="Arial"/>
          <w:sz w:val="18"/>
          <w:szCs w:val="18"/>
          <w:u w:val="single" w:color="auto"/>
          <w:color w:val="auto"/>
        </w:rPr>
        <w:t>Not to Leave Demised Premises Vacant or Unoccupied</w:t>
      </w:r>
    </w:p>
    <w:p>
      <w:pPr>
        <w:spacing w:after="0" w:line="7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Not to leave the Demised Premises vacant or unoccupied for any period or periods in excess of a total of seven (7) days (whether continuous or not) or for any continuous period of more than three (3) days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919480</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color w:val="auto"/>
        </w:rPr>
        <w:t>period of twelve (12) months (other than Saturdays, Sundays and public holidays) without the Landlord's written consent.</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3.40 </w:t>
      </w:r>
      <w:r>
        <w:rPr>
          <w:rFonts w:ascii="Arial" w:cs="Arial" w:eastAsia="Arial" w:hAnsi="Arial"/>
          <w:sz w:val="18"/>
          <w:szCs w:val="18"/>
          <w:u w:val="single" w:color="auto"/>
          <w:color w:val="auto"/>
        </w:rPr>
        <w:t>No Soliciting and Advertising</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Tenant shall not allow or permit its employees or agents to solicit business or distribute or display any pamphlets samples posters or any other advertising material whatsoever in the Building or the car parking areas or any part thereof except in such manner as the Landlord may approve of and subject to such conditions as the Landlord may impose.</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3.41 </w:t>
      </w:r>
      <w:r>
        <w:rPr>
          <w:rFonts w:ascii="Arial" w:cs="Arial" w:eastAsia="Arial" w:hAnsi="Arial"/>
          <w:sz w:val="18"/>
          <w:szCs w:val="18"/>
          <w:u w:val="single" w:color="auto"/>
          <w:color w:val="auto"/>
        </w:rPr>
        <w:t>Parking of Vehicles</w:t>
      </w:r>
    </w:p>
    <w:p>
      <w:pPr>
        <w:spacing w:after="0" w:line="77" w:lineRule="exact"/>
        <w:rPr>
          <w:sz w:val="20"/>
          <w:szCs w:val="20"/>
          <w:color w:val="auto"/>
        </w:rPr>
      </w:pPr>
    </w:p>
    <w:p>
      <w:pPr>
        <w:jc w:val="both"/>
        <w:ind w:left="760" w:hanging="3"/>
        <w:spacing w:after="0" w:line="247" w:lineRule="auto"/>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Tenant shall not permit trade vehicles while being used for delivery and pick up of merchandise, stock, office supplies or equipment to or from the Demised Premises to be driven parked or stopped at any place or time within the Building except within the loading dock of the Building and except at such other place or places and at such time or times as the Landlord or the Management Corporation when it is formed may specifically allow.</w:t>
      </w:r>
    </w:p>
    <w:p>
      <w:pPr>
        <w:spacing w:after="0" w:line="52" w:lineRule="exact"/>
        <w:rPr>
          <w:rFonts w:ascii="Arial" w:cs="Arial" w:eastAsia="Arial" w:hAnsi="Arial"/>
          <w:sz w:val="18"/>
          <w:szCs w:val="18"/>
          <w:color w:val="auto"/>
        </w:rPr>
      </w:pPr>
    </w:p>
    <w:p>
      <w:pPr>
        <w:ind w:left="760" w:right="20" w:hanging="3"/>
        <w:spacing w:after="0" w:line="271" w:lineRule="auto"/>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Tenant shall not use or permit to be used the said loading dock or any part thereof for the storage of goods or for any other purpose other than for the prompt loading and unloading of goods in connection with the Tenant's business.</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3.42 </w:t>
      </w:r>
      <w:r>
        <w:rPr>
          <w:rFonts w:ascii="Arial" w:cs="Arial" w:eastAsia="Arial" w:hAnsi="Arial"/>
          <w:sz w:val="18"/>
          <w:szCs w:val="18"/>
          <w:u w:val="single" w:color="auto"/>
          <w:color w:val="auto"/>
        </w:rPr>
        <w:t>Indemnity</w:t>
      </w:r>
    </w:p>
    <w:p>
      <w:pPr>
        <w:spacing w:after="0" w:line="7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Tenant shall indemnify and keep indemnified the Landlord in full from and against: (i) all claims demands actions suits proceedings orders damages costs losses and expenses of any nature whatsoever which the Landlord may suffer or incur in connection with loss of life personal injury and/or damage to property arising from or out of any occurrences in upon or at the Demised Premises or the use of the Demised Premises or any part thereof caused by the Tenant or by any of the Tenant's employees independent contractors agents invitees or licensees; and (ii) all loss and damage to the Demised Premises and the Building and to all property therein caused directly or indirectly by the Tenant.</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3.43 </w:t>
      </w:r>
      <w:r>
        <w:rPr>
          <w:rFonts w:ascii="Arial" w:cs="Arial" w:eastAsia="Arial" w:hAnsi="Arial"/>
          <w:sz w:val="18"/>
          <w:szCs w:val="18"/>
          <w:u w:val="single" w:color="auto"/>
          <w:color w:val="auto"/>
        </w:rPr>
        <w:t>Tenant's Insurance</w:t>
      </w:r>
    </w:p>
    <w:p>
      <w:pPr>
        <w:spacing w:after="0" w:line="9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Tenant shall at all times during the Term and during any period of holding over to: (i) effect and keep current a public liability insurance policy in respect of the Demised Premises at all times during the Term in an amount of not less than Dollars One Million Only ($1,000,000.00) which shall be taken out with an insurance company approved by the Landlord; and (ii) keep current an adequate insurance policy which shall be taken out with an insurance company approved by the Landlord on internal partitions and all goods belonging to or held in trust by the Tenant in the Demised Premises against loss or damage by fire flood water damage or discharge from sprinkler system.</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3.44 </w:t>
      </w:r>
      <w:r>
        <w:rPr>
          <w:rFonts w:ascii="Arial" w:cs="Arial" w:eastAsia="Arial" w:hAnsi="Arial"/>
          <w:sz w:val="18"/>
          <w:szCs w:val="18"/>
          <w:u w:val="single" w:color="auto"/>
          <w:color w:val="auto"/>
        </w:rPr>
        <w:t>Yielding Up of Demised Premises</w:t>
      </w:r>
    </w:p>
    <w:p>
      <w:pPr>
        <w:spacing w:after="0" w:line="90" w:lineRule="exact"/>
        <w:rPr>
          <w:sz w:val="20"/>
          <w:szCs w:val="20"/>
          <w:color w:val="auto"/>
        </w:rPr>
      </w:pPr>
    </w:p>
    <w:p>
      <w:pPr>
        <w:jc w:val="both"/>
        <w:ind w:left="760" w:hanging="3"/>
        <w:spacing w:after="0" w:line="253" w:lineRule="auto"/>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 the expiration or sooner determination of the Term peaceably and quietly to yield up the Demised Premises with all locks and keys complete (whether held by the Tenant or any of the Tenant's employees or agents irrespective of whether the same have been supplied by the Landlord) to the Landlord.</w:t>
      </w:r>
    </w:p>
    <w:p>
      <w:pPr>
        <w:spacing w:after="0" w:line="33" w:lineRule="exact"/>
        <w:rPr>
          <w:rFonts w:ascii="Arial" w:cs="Arial" w:eastAsia="Arial" w:hAnsi="Arial"/>
          <w:sz w:val="18"/>
          <w:szCs w:val="18"/>
          <w:color w:val="auto"/>
        </w:rPr>
      </w:pPr>
    </w:p>
    <w:p>
      <w:pPr>
        <w:jc w:val="both"/>
        <w:ind w:left="760" w:hanging="3"/>
        <w:spacing w:after="0" w:line="242" w:lineRule="auto"/>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Tenant shall, unless otherwise requested by the Landlord in writing, remove or cause to be removed at the Tenant's cost and expense all or such portion of the alterations, decorations, additions and improvements whether made or installed by the Tenant or otherwise to the Demised Premises so as to reinstate the Demised Premises upon the yielding up of the same to a bare good, clean and tenantable state and condition and in accordance with the Building Base Plans which can be obtained from the Landlord or the Landlord's representative at the Building management office) and the provisions of the Reinstatement Schedule hereto, free from rubbish and waste material, fair wear and tear excepted.</w:t>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3.45 </w:t>
      </w:r>
      <w:r>
        <w:rPr>
          <w:rFonts w:ascii="Arial" w:cs="Arial" w:eastAsia="Arial" w:hAnsi="Arial"/>
          <w:sz w:val="18"/>
          <w:szCs w:val="18"/>
          <w:u w:val="single" w:color="auto"/>
          <w:color w:val="auto"/>
        </w:rPr>
        <w:t>Rules and Regulations of the Landlord</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To observe and perform and to cause all the Tenant's employees independent contractors agents invitees and licensees to observe and perform all the rules and regulations made by the Landlord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919480</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6" w:name="page227"/>
    <w:bookmarkEnd w:id="226"/>
    <w:p>
      <w:pPr>
        <w:jc w:val="both"/>
        <w:spacing w:after="0" w:line="253" w:lineRule="auto"/>
        <w:rPr>
          <w:sz w:val="20"/>
          <w:szCs w:val="20"/>
          <w:color w:val="auto"/>
        </w:rPr>
      </w:pPr>
      <w:r>
        <w:rPr>
          <w:rFonts w:ascii="Arial" w:cs="Arial" w:eastAsia="Arial" w:hAnsi="Arial"/>
          <w:sz w:val="18"/>
          <w:szCs w:val="18"/>
          <w:color w:val="auto"/>
        </w:rPr>
        <w:t>Management Corporation if it is formed from time to time under Clause 5.9 hereof for the management safety care or cleanliness of the Building or for the preservation of good order therein or for the convenience of tenants and notified in writing by the Landlord to the Tenant from time to time.</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3.46 </w:t>
      </w:r>
      <w:r>
        <w:rPr>
          <w:rFonts w:ascii="Arial" w:cs="Arial" w:eastAsia="Arial" w:hAnsi="Arial"/>
          <w:sz w:val="18"/>
          <w:szCs w:val="18"/>
          <w:u w:val="single" w:color="auto"/>
          <w:color w:val="auto"/>
        </w:rPr>
        <w:t>Administrative Fees and Legal Costs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pay on or before the Tenant's execution of this Agreement, the stamp fees, the Landlord's administrative fees (if any) and the Landlord's solicitors' costs and disbursements in connection with the preparation and completion of this Agreement and the counter-part thereof, any amendment or proposed amendment thereto and other fees in connection therewith.</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3.47 </w:t>
      </w:r>
      <w:r>
        <w:rPr>
          <w:rFonts w:ascii="Arial" w:cs="Arial" w:eastAsia="Arial" w:hAnsi="Arial"/>
          <w:sz w:val="18"/>
          <w:szCs w:val="18"/>
          <w:u w:val="single" w:color="auto"/>
          <w:color w:val="auto"/>
        </w:rPr>
        <w:t>Legal Costs for Enforcement of this Agreement</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 pay on an indemnity basis all the Landlord's costs fees charges disbursements and expenses incurred legal or otherwise and whether or not legal action is instituted in connection with the enforcement of all the covenants conditions terms stipulations and provisions herein.</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3.48 </w:t>
      </w:r>
      <w:r>
        <w:rPr>
          <w:rFonts w:ascii="Arial" w:cs="Arial" w:eastAsia="Arial" w:hAnsi="Arial"/>
          <w:sz w:val="18"/>
          <w:szCs w:val="18"/>
          <w:u w:val="single" w:color="auto"/>
          <w:color w:val="auto"/>
        </w:rPr>
        <w:t>Rates &amp; Taxes Payable by Tenant</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Apart from the taxes as provided in Clause 3.2, the Tenant shall pay for any additional or increase in rates taxes assessments impositions and outgoings imposed upon or in respect of the Demised Premises over and above the rates taxes assessments impositions and outgoings payable by the Landlord as at the earlier of the date of this Agreement and the commencement date of the Term under Clause 4.7 herein.</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3.49 </w:t>
      </w:r>
      <w:r>
        <w:rPr>
          <w:rFonts w:ascii="Arial" w:cs="Arial" w:eastAsia="Arial" w:hAnsi="Arial"/>
          <w:sz w:val="18"/>
          <w:szCs w:val="18"/>
          <w:u w:val="single" w:color="auto"/>
          <w:color w:val="auto"/>
        </w:rPr>
        <w:t>Paid-Up Capital</w:t>
      </w:r>
    </w:p>
    <w:p>
      <w:pPr>
        <w:spacing w:after="0" w:line="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 maintain a minimum paid-up capital of $500,000.00 throughout the Term if the Tenant is a corporation and not to carry out any capital reducing exercise during the Term without the Landlord's consent, such approval not to be unreasonably withheld or delayed, but may be given subject to conditions including the requirement for additional security deposit to be furnished by the Tenant and held by the Landlord on the terms of Clause 2 hereof.</w:t>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3.50 </w:t>
      </w:r>
      <w:r>
        <w:rPr>
          <w:rFonts w:ascii="Arial" w:cs="Arial" w:eastAsia="Arial" w:hAnsi="Arial"/>
          <w:sz w:val="18"/>
          <w:szCs w:val="18"/>
          <w:u w:val="single" w:color="auto"/>
          <w:color w:val="auto"/>
        </w:rPr>
        <w:t>"Know Your Client" Information</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Tenant shall, promptly upon the request of the Landlord supply, or procure the supply of, such documentation and other evidence as requested by the Landlord (including on behalf of any prospective new assignee of the Landlord) in order for the Landlord or any prospective new assignee to conduct any "know your client" or other similar procedures under the applicable laws and regulations.</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3.51 </w:t>
      </w:r>
      <w:r>
        <w:rPr>
          <w:rFonts w:ascii="Arial" w:cs="Arial" w:eastAsia="Arial" w:hAnsi="Arial"/>
          <w:sz w:val="18"/>
          <w:szCs w:val="18"/>
          <w:u w:val="single" w:color="auto"/>
          <w:color w:val="auto"/>
        </w:rPr>
        <w:t>Personal Data</w:t>
      </w:r>
    </w:p>
    <w:p>
      <w:pPr>
        <w:spacing w:after="0" w:line="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respect of any personal data (collectively "Data") provided or to be provided to the Landlord by the Tenant, the Tenant represents and warrants that it has obtained and will obtain all applicable consents from the relevant individuals for the collection, processing, use and disclosure of such Data by the Landlord for the purposes of carrying out its obligations or exercising its rights under this Lease, and/or complying with all applicable laws and regulations.</w:t>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3.52 </w:t>
      </w:r>
      <w:r>
        <w:rPr>
          <w:rFonts w:ascii="Arial" w:cs="Arial" w:eastAsia="Arial" w:hAnsi="Arial"/>
          <w:sz w:val="18"/>
          <w:szCs w:val="18"/>
          <w:u w:val="single" w:color="auto"/>
          <w:color w:val="auto"/>
        </w:rPr>
        <w:t>AML/CFT/CP Laws</w:t>
      </w:r>
    </w:p>
    <w:p>
      <w:pPr>
        <w:spacing w:after="0" w:line="90" w:lineRule="exact"/>
        <w:rPr>
          <w:sz w:val="20"/>
          <w:szCs w:val="20"/>
          <w:color w:val="auto"/>
        </w:rPr>
      </w:pPr>
    </w:p>
    <w:p>
      <w:pPr>
        <w:jc w:val="both"/>
        <w:ind w:left="760" w:hanging="3"/>
        <w:spacing w:after="0" w:line="242" w:lineRule="auto"/>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Tenant represents and warrants that (i) the Tenant has not violated any laws, legislation, subsidiary legislation, statutes, orders, by-laws, rules, regulations, and/or notices and requirements of relevant governmental, quasi-governmental, statutory or regulatory authorities relating to anti-money laundering, countering the financing of terrorism, corrupt practices and "know your client" requirements (collectively, the "AML/CFT/CP Laws") applicable to the Tenant and (ii) the Tenant has complied with, and has instituted procedures which ensure the Tenant's continued compliance with the AML/CFT/CP Laws, and no action, suit or proceeding involving the Tenant with respect to the AML/CFT/CP Laws is pending or threatened.</w:t>
      </w:r>
    </w:p>
    <w:p>
      <w:pPr>
        <w:spacing w:after="0" w:line="43" w:lineRule="exact"/>
        <w:rPr>
          <w:rFonts w:ascii="Arial" w:cs="Arial" w:eastAsia="Arial" w:hAnsi="Arial"/>
          <w:sz w:val="18"/>
          <w:szCs w:val="18"/>
          <w:color w:val="auto"/>
        </w:rPr>
      </w:pPr>
    </w:p>
    <w:p>
      <w:pPr>
        <w:ind w:left="760" w:right="20" w:hanging="3"/>
        <w:spacing w:after="0" w:line="271" w:lineRule="auto"/>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Without prejudice to any provisions in this Agreement, if the Tenant fails to comply with any of the AML/CFT/CP Laws, the Landlord shall be entitled to forfeit the Deposit and terminate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911225</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7" w:name="page228"/>
    <w:bookmarkEnd w:id="227"/>
    <w:p>
      <w:pPr>
        <w:jc w:val="both"/>
        <w:ind w:left="760" w:hanging="3"/>
        <w:spacing w:after="0" w:line="253" w:lineRule="auto"/>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Notwithstanding the other provisions in this Agreement, in the event that the Landlord determines in its reasonable opinion that the Landlord should terminate its relationship with the Tenant in compliance with the AML/CFT/CP Laws, then the Landlord may terminate this Agreement without any compensation to the Tenant.</w:t>
      </w:r>
    </w:p>
    <w:p>
      <w:pPr>
        <w:spacing w:after="0" w:line="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3.53 </w:t>
      </w:r>
      <w:r>
        <w:rPr>
          <w:rFonts w:ascii="Arial" w:cs="Arial" w:eastAsia="Arial" w:hAnsi="Arial"/>
          <w:sz w:val="18"/>
          <w:szCs w:val="18"/>
          <w:u w:val="single" w:color="auto"/>
          <w:color w:val="auto"/>
        </w:rPr>
        <w:t>Green Lease</w:t>
      </w:r>
    </w:p>
    <w:p>
      <w:pPr>
        <w:spacing w:after="0" w:line="7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Tenant acknowledges that the Landlord is committed to aligning the Building with the Building and Construction Authority's Singapore Green Building Masterplan as part of its sustainability efforts, and the Tenant shall: (a) on a yearly basis, provide to the Landlord information relating to the Tenant's waste output and consumption of energy, water and gas by the Tenant in relation to the Demised Premises; (b) on a yearly basis, meet with the representatives of the Landlord to discuss in good faith how to reduce the Tenant's energy consumption, carbon emissions and waste for the Building and the Demised Premises; and (c) use reasonable efforts to co-operate with the Landlord's other sustainability initiatives implemented from time to time.</w:t>
      </w:r>
    </w:p>
    <w:p>
      <w:pPr>
        <w:spacing w:after="0" w:line="71" w:lineRule="exact"/>
        <w:rPr>
          <w:sz w:val="20"/>
          <w:szCs w:val="20"/>
          <w:color w:val="auto"/>
        </w:rPr>
      </w:pPr>
    </w:p>
    <w:p>
      <w:pPr>
        <w:ind w:left="400" w:hanging="392"/>
        <w:spacing w:after="0"/>
        <w:tabs>
          <w:tab w:leader="none" w:pos="40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LANDLORD'S COVENANTS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Landlord hereby agrees with the Tenant as follows:-</w:t>
      </w:r>
    </w:p>
    <w:p>
      <w:pPr>
        <w:spacing w:after="0" w:line="104"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u w:val="single" w:color="auto"/>
          <w:color w:val="auto"/>
        </w:rPr>
        <w:t>Quiet Enjoyment</w:t>
      </w:r>
    </w:p>
    <w:p>
      <w:pPr>
        <w:spacing w:after="0" w:line="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That the Tenant duly paying the Rent, Service Charge, Promotional Fee (if applicable), Taxes and any other monies hereby reserved and observing and performing the several provisions and stipulations hereinbefore on the Tenant's part contained shall peaceably hold and enjoy the Demised Premises during the Term without any disturbance by the Landlord or any person lawfully claiming under or in trust for the Landlord.</w:t>
      </w:r>
    </w:p>
    <w:p>
      <w:pPr>
        <w:spacing w:after="0" w:line="66"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u w:val="single" w:color="auto"/>
          <w:color w:val="auto"/>
        </w:rPr>
        <w:t>Insurance</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all times throughout the Term to ensure that the Demised Premises are insured against loss or damage by fire to the full insurable value thereof.</w:t>
      </w:r>
    </w:p>
    <w:p>
      <w:pPr>
        <w:spacing w:after="0" w:line="46"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u w:val="single" w:color="auto"/>
          <w:color w:val="auto"/>
        </w:rPr>
        <w:t>Damage / Destruction</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the event of the Demised Premises or any part thereof at anytime during the Term being so damaged or destroyed by fire act of God or other cause beyond the control of the Landlord as to render the Demised Premises unfit for use or access thereto impossible then the Rent, Service Charge and Promotional Fee (if applicable) hereby reserved or a fair proportion thereof according to the nature and extent of the damage sustained shall be suspended until the Demised Premises shall again be rendered fit for occupation and use or until access thereto may be obtained as the case may be.</w:t>
      </w:r>
    </w:p>
    <w:p>
      <w:pPr>
        <w:spacing w:after="0" w:line="68"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u w:val="single" w:color="auto"/>
          <w:color w:val="auto"/>
        </w:rPr>
        <w:t>Common Parts of the Building</w:t>
      </w:r>
    </w:p>
    <w:p>
      <w:pPr>
        <w:spacing w:after="0" w:line="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 keep or if the Management Corporation is formed to make proportionate contribution to the Management Corporation for keeping the roof and the main drains and pipes all external walls and all common parts of the Building including entrances carpark staircases landings corridors passages service road lavatories and conveniences clean and in good repair including the repainting and redecorating of the same or any part thereof at such times and in such manner as the Landlord in its absolute discretion may consider to be necessary.</w:t>
      </w:r>
    </w:p>
    <w:p>
      <w:pPr>
        <w:spacing w:after="0" w:line="66"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u w:val="single" w:color="auto"/>
          <w:color w:val="auto"/>
        </w:rPr>
        <w:t>Lighting</w:t>
      </w:r>
    </w:p>
    <w:p>
      <w:pPr>
        <w:spacing w:after="0" w:line="9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To keep or if the Management Corporation is formed to make proportionate contribution to the Management Corporation for keeping the lifts escalators staircases landings passages and such common parts as aforesaid well and sufficiently cleaned and lighted and to keep the escalators and lifts in proper working order.</w:t>
      </w:r>
    </w:p>
    <w:p>
      <w:pPr>
        <w:spacing w:after="0" w:line="61"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u w:val="single" w:color="auto"/>
          <w:color w:val="auto"/>
        </w:rPr>
        <w:t>Lifts, Escalators, Electricity and Water</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 far as practicable and subject always to Clause 5.22 and to the decision of the Management Corporation if it is formed to provide and pay for: (i) lift services at locations designated by the Landlord in the common areas of the Building during the Lift Service Hours; (ii) air-conditioning services during the Air-con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929640</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8" w:name="page229"/>
    <w:bookmarkEnd w:id="228"/>
    <w:p>
      <w:pPr>
        <w:jc w:val="both"/>
        <w:spacing w:after="0" w:line="271" w:lineRule="auto"/>
        <w:rPr>
          <w:sz w:val="20"/>
          <w:szCs w:val="20"/>
          <w:color w:val="auto"/>
        </w:rPr>
      </w:pPr>
      <w:r>
        <w:rPr>
          <w:rFonts w:ascii="Arial" w:cs="Arial" w:eastAsia="Arial" w:hAnsi="Arial"/>
          <w:sz w:val="18"/>
          <w:szCs w:val="18"/>
          <w:color w:val="auto"/>
        </w:rPr>
        <w:t>Hours; and (iii) electricity and water as are attributable to the lighting of the passages corridors lavatories and other common parts of the Building used by the Tenant in common with others.</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"Lift Service Hours" means the hours of 7.00 a.m. to 6.00 p.m. from Mondays to Fridays and during the hours of 7.00 a.m. to 1.00 p.m. on Saturdays except on Sundays and Public Holidays.</w:t>
      </w:r>
    </w:p>
    <w:p>
      <w:pPr>
        <w:spacing w:after="0" w:line="4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"Air-con Service Hours" means the hours of 8.00 a.m. to 6.00 p.m. everyday from Mondays to Fridays and during the hours of 8.00 a.m. to 1.00 p.m. on Saturdays except on Sundays and Public Holidays.</w:t>
      </w:r>
    </w:p>
    <w:p>
      <w:pPr>
        <w:spacing w:after="0" w:line="46"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u w:val="single" w:color="auto"/>
          <w:color w:val="auto"/>
        </w:rPr>
        <w:t>Rates, Taxes, Assessments, etc.</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Subject always to Clause 3.2 hereof, the Landlord shall pay such rates taxes assessments impositions and outgoings including property tax imposed upon or in respect of the Demised Premises as at the earlier of the date of this Agreement and the commencement date of the Term save and except such as are herein agreed to be paid by the Tenant.</w:t>
      </w:r>
    </w:p>
    <w:p>
      <w:pPr>
        <w:spacing w:after="0" w:line="61"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7"/>
          <w:szCs w:val="17"/>
          <w:u w:val="single" w:color="auto"/>
          <w:color w:val="auto"/>
        </w:rPr>
        <w:t>Option to Renew</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Landlord shall grant to the Tenant an option to renew this lease granted hereunder in respect of the whole of the Demised Premises (and not parts thereof) on the terms and conditions as described in the First Schedule. The option to renew will be for a further term for a period specified in the First Schedule (the "Renewal Term") commencing on the day after the expiry of the Term. To exercise the option to renew, the Tenant shall serve on the Landlord a written renewal notice ("Tenant's Renewal Notice") not more than nine (9) months and not less than six (6) months prior to the expiry of the Term (time being of the essence).</w:t>
      </w:r>
    </w:p>
    <w:p>
      <w:pPr>
        <w:spacing w:after="0" w:line="68" w:lineRule="exact"/>
        <w:rPr>
          <w:sz w:val="20"/>
          <w:szCs w:val="20"/>
          <w:color w:val="auto"/>
        </w:rPr>
      </w:pPr>
    </w:p>
    <w:p>
      <w:pPr>
        <w:ind w:right="5960" w:firstLine="8"/>
        <w:spacing w:after="0" w:line="360" w:lineRule="auto"/>
        <w:tabs>
          <w:tab w:leader="none" w:pos="40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RIGHTS AND OBLIGATIONS OF THE LANDLORD </w:t>
      </w:r>
      <w:r>
        <w:rPr>
          <w:rFonts w:ascii="Arial" w:cs="Arial" w:eastAsia="Arial" w:hAnsi="Arial"/>
          <w:sz w:val="18"/>
          <w:szCs w:val="18"/>
          <w:color w:val="auto"/>
        </w:rPr>
        <w:t>It is further agreed and declared as follows:-</w:t>
      </w:r>
    </w:p>
    <w:p>
      <w:pPr>
        <w:ind w:left="760"/>
        <w:spacing w:after="0"/>
        <w:tabs>
          <w:tab w:leader="none" w:pos="11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Floor Area</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floor area stated in the First Schedule hereto is the area of the floor of the Demised Premises measured from half the thickness of the boundary walls, partitions and/or glass (as the case may be) of the Demised Premises and all the area occupied by all pillars and vertical ductings (if any) within the Demised Premises. The floor area so stated shall be final and conclusive and binding on the Tenant as such.</w:t>
      </w:r>
    </w:p>
    <w:p>
      <w:pPr>
        <w:spacing w:after="0" w:line="61"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Interest, Right to Distrain, Prohibition against Removal of Property</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Without prejudice to the Landlord's rights reserved under Clause 5.3, the Landlord shall be entitled to charge interest at the rate of one per cent (1%) per month for late payment of all monies due under this Agreement if the said monies remain unpaid for seven (7) days after its due date.</w:t>
      </w:r>
    </w:p>
    <w:p>
      <w:pPr>
        <w:spacing w:after="0" w:line="61"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u w:val="single" w:color="auto"/>
          <w:color w:val="auto"/>
        </w:rPr>
        <w:t>Right of Entry and Determination of Tenancy</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and whenever during the Term: (i) the Rent and/or Service Charge and/or Promotional Fee (if applicable) and/or Taxes and/or any monies hereby reserved or any part thereof shall at any time be unpaid for fourteen (14) days after becoming payable; or (ii) any stipulation on the Tenant's part herein contained shall not be performed or observed within seven (7) days after the Landlord has given the Tenant a written notice requesting the Tenant to perform or observe such stipulation; or (iii) the Tenant, being an individual, dies or shall become bankrupt or becomes incapable of managing his affairs; or (iv) the Tenant becomes insolvent; or (v) the Tenant, being a corporation, makes arrangement with its creditors for liquidation; or (vi) the Tenant shall suffer any distress or execution to be levied on the Tenant's goods; or (vii) the Tenant is struck off the Register of Companies or the Register of Businesses; then and in any one of the said cases it shall be lawful for the Landlord at any time thereafter to terminate this Lease by service of three (3) days' written notice on the Tenant.</w:t>
      </w:r>
    </w:p>
    <w:p>
      <w:pPr>
        <w:spacing w:after="0" w:line="72"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u w:val="single" w:color="auto"/>
          <w:color w:val="auto"/>
        </w:rPr>
        <w:t>Removal and Disposal of Items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Landlord may upon re-entry or determination of this Lease remove from the Demised Premises or dispose of such goods and any item of any description found in the Demised Premises including but without limiting the generality of the foregoing all plant equipment stock-in-trade fittings and fixtures of the Tenant.</w:t>
      </w:r>
    </w:p>
    <w:p>
      <w:pPr>
        <w:spacing w:after="0" w:line="61"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u w:val="single" w:color="auto"/>
          <w:color w:val="auto"/>
        </w:rPr>
        <w:t>Structures in Common Parts of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948055</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9" w:name="page230"/>
    <w:bookmarkEnd w:id="229"/>
    <w:p>
      <w:pPr>
        <w:jc w:val="both"/>
        <w:spacing w:after="0" w:line="271" w:lineRule="auto"/>
        <w:rPr>
          <w:sz w:val="20"/>
          <w:szCs w:val="20"/>
          <w:color w:val="auto"/>
        </w:rPr>
      </w:pPr>
      <w:r>
        <w:rPr>
          <w:rFonts w:ascii="Arial" w:cs="Arial" w:eastAsia="Arial" w:hAnsi="Arial"/>
          <w:sz w:val="18"/>
          <w:szCs w:val="18"/>
          <w:color w:val="auto"/>
        </w:rPr>
        <w:t>The Landlord expressly reserves the right from time to time to erect remove and re-erect kiosks signs seats and other structures in any part of the common parts of the Building or the car park.</w:t>
      </w:r>
    </w:p>
    <w:p>
      <w:pPr>
        <w:spacing w:after="0" w:line="46"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u w:val="single" w:color="auto"/>
          <w:color w:val="auto"/>
        </w:rPr>
        <w:t>Public Address System</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Notwithstanding anything herein contained or implied to the contrary the Landlord may (but shall not be obliged to) provide and install a public address system throughout the common parts of the Building or any part thereof.</w:t>
      </w:r>
    </w:p>
    <w:p>
      <w:pPr>
        <w:spacing w:after="0" w:line="46"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7"/>
          <w:szCs w:val="17"/>
          <w:u w:val="single" w:color="auto"/>
          <w:color w:val="auto"/>
        </w:rPr>
        <w:t>Restriction in Access</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Landlord may at its discretion restrict access to the carpark or any part or parts thereof and may close off all or any of the entrances or exits thereto and any of the driveways therein and may also restrict access to all or any of the other common parts of the Building.</w:t>
      </w:r>
    </w:p>
    <w:p>
      <w:pPr>
        <w:spacing w:after="0" w:line="46"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7"/>
          <w:szCs w:val="17"/>
          <w:u w:val="single" w:color="auto"/>
          <w:color w:val="auto"/>
        </w:rPr>
        <w:t>Closure</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Landlord may in the case of invasion mob riot public excitement or other circumstances rendering such action advisable in the Landlord's opinion prevent access to the Building during the continuance of the same and for so long and in such manner as the Landlord deems necessary or appropriate including closing entrances to the Building.</w:t>
      </w:r>
    </w:p>
    <w:p>
      <w:pPr>
        <w:spacing w:after="0" w:line="61"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7"/>
          <w:szCs w:val="17"/>
          <w:u w:val="single" w:color="auto"/>
          <w:color w:val="auto"/>
        </w:rPr>
        <w:t>Rules and Regulations</w:t>
      </w:r>
    </w:p>
    <w:p>
      <w:pPr>
        <w:spacing w:after="0" w:line="9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Landlord and the Management Corporation shall have the right at any time and from time to time to make add to amend cancel or suspend any rules and regulations in respect of the Building.</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Landlord Rectify Breach</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the Tenant shall fail to pay any monies or charges as required hereunder to any person other than the Landlord or if the Tenant shall fail to perform any undertaking on the part of the Tenant herein contained it shall be lawful (but not obligatory) for the Landlord to make any payment or do any act or thing and incur any expense as may be necessary to perform the said undertaking and any sum of money or expense which the Landlord may pay or incur for the purpose aforesaid shall constitute a liquidated debt due and owing by the Tenant to the Landlord.</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No Exclusive Franchise</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 exclusive franchise is given to the Tenant and the Landlord shall be at liberty now or at any time hereafter to let any part or parts of the Building other than the Demised Premises for any purpose it sees fit.</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Car Parks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Landlord will allocate for the Tenant's subscription the number of season carpark lot(s) specified in the First Schedule hereto. The Tenant's use of the season carpark lot(s) shall be subject to the Tenant's payment of the prevailing season parking fees, which fees shall be subject to review from time to time.</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Landlord's Right to Assign</w:t>
      </w:r>
    </w:p>
    <w:p>
      <w:pPr>
        <w:spacing w:after="0" w:line="7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Landlord shall be entitled to assign or novate all its rights and interest in, under or arising out of this Lease. In the event of such assignment or novation, the Tenant shall be deemed to have consented to such assignment or novation.</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u w:val="single" w:color="auto"/>
          <w:color w:val="auto"/>
        </w:rPr>
        <w:t>Holding Over</w:t>
      </w:r>
    </w:p>
    <w:p>
      <w:pPr>
        <w:spacing w:after="0" w:line="9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the Tenant continues to occupy the Demised Premises beyond the expiration or sooner determination of the Term or fails to deliver vacant possession thereof to the Landlord after the expiration or sooner determination of the Term, without any express written agreement between the Landlord and the Tenant to extend the Term, the Tenant shall pay to the Landlord for every day of such holding over double the amount of (i) daily Rent and Service Charge or (ii) daily rent and service charge based on the prevailing market rate during the period of any such holding over, whichever is higher.</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5.25 </w:t>
      </w:r>
      <w:r>
        <w:rPr>
          <w:rFonts w:ascii="Arial" w:cs="Arial" w:eastAsia="Arial" w:hAnsi="Arial"/>
          <w:sz w:val="18"/>
          <w:szCs w:val="18"/>
          <w:u w:val="single" w:color="auto"/>
          <w:color w:val="auto"/>
        </w:rPr>
        <w:t>Name and Address of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948055</wp:posOffset>
            </wp:positionV>
            <wp:extent cx="715772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0" w:name="page231"/>
    <w:bookmarkEnd w:id="230"/>
    <w:p>
      <w:pPr>
        <w:jc w:val="both"/>
        <w:ind w:right="20"/>
        <w:spacing w:after="0" w:line="271" w:lineRule="auto"/>
        <w:rPr>
          <w:sz w:val="20"/>
          <w:szCs w:val="20"/>
          <w:color w:val="auto"/>
        </w:rPr>
      </w:pPr>
      <w:r>
        <w:rPr>
          <w:rFonts w:ascii="Arial" w:cs="Arial" w:eastAsia="Arial" w:hAnsi="Arial"/>
          <w:sz w:val="18"/>
          <w:szCs w:val="18"/>
          <w:color w:val="auto"/>
        </w:rPr>
        <w:t>The Landlord shall have the right at all times without obtaining any consent from the Tenant, to change the name or number by which the Building or any part thereof (including but not limited to the Demised Premises) is known.</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5.26 </w:t>
      </w:r>
      <w:r>
        <w:rPr>
          <w:rFonts w:ascii="Arial" w:cs="Arial" w:eastAsia="Arial" w:hAnsi="Arial"/>
          <w:sz w:val="18"/>
          <w:szCs w:val="18"/>
          <w:u w:val="single" w:color="auto"/>
          <w:color w:val="auto"/>
        </w:rPr>
        <w:t>Redevelopment</w:t>
      </w:r>
    </w:p>
    <w:p>
      <w:pPr>
        <w:spacing w:after="0" w:line="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the Landlord wishes to redevelop, retrofit, refurbish, improve, renovate, upgrade or alter in any way whatsoever and prescribe, control and change the use, construction, size, configuration of or access to or any other aspect of any part or parts of the Building, the Landlord may: (i) do so at its absolute discretion and without the same constituting an actual or constructive eviction of the Tenant from the Demised Premises; or (ii) terminate the Lease without compensation by giving to the Tenant at least six (6) months' prior written notice of such intention.</w:t>
      </w:r>
    </w:p>
    <w:p>
      <w:pPr>
        <w:spacing w:after="0" w:line="66" w:lineRule="exact"/>
        <w:rPr>
          <w:sz w:val="20"/>
          <w:szCs w:val="20"/>
          <w:color w:val="auto"/>
        </w:rPr>
      </w:pPr>
    </w:p>
    <w:p>
      <w:pPr>
        <w:ind w:left="400" w:hanging="392"/>
        <w:spacing w:after="0"/>
        <w:tabs>
          <w:tab w:leader="none" w:pos="40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PROVIDED ALWAYS and it is hereby agreed and declared as follows:-</w:t>
      </w:r>
    </w:p>
    <w:p>
      <w:pPr>
        <w:spacing w:after="0" w:line="104"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No Warranty Promise or Representation by Landlord</w:t>
      </w:r>
    </w:p>
    <w:p>
      <w:pPr>
        <w:spacing w:after="0" w:line="7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Save as herein otherwise expressly provided the Landlord shall be deemed not to have made any warranty promise or representation whatsoever to the Tenant regarding the Demised Premises or the Building.</w:t>
      </w:r>
    </w:p>
    <w:p>
      <w:pPr>
        <w:spacing w:after="0" w:line="46"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No Waiver</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failure of the Landlord to insist upon or require the strict performance by the Tenant of all or any of its obligations or responsibilities hereunder shall not in any way be construed as a waiver or relinquishment of any of the Landlord's rights under the terms of this Agreement or of the Landlord's entitlement to insist upon or enforce the same at any time thereafter.</w:t>
      </w:r>
    </w:p>
    <w:p>
      <w:pPr>
        <w:spacing w:after="0" w:line="61"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u w:val="single" w:color="auto"/>
          <w:color w:val="auto"/>
        </w:rPr>
        <w:t>Prohibition Against Registration of Caveats and Leases</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Tenant shall not before or during the continuance of the Term and renewal thereof register this Lease and/or a Caveat in respect of this Lease or the Demised Premises at the Singapore Land Authority.</w:t>
      </w:r>
    </w:p>
    <w:p>
      <w:pPr>
        <w:spacing w:after="0" w:line="46"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u w:val="single" w:color="auto"/>
          <w:color w:val="auto"/>
        </w:rPr>
        <w:t>Complete Agreement</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Agreement sets forth the entire and only agreement and understanding between the parties hereto in respect of the Lease of the Demised Premises and no purported variation or amendment of this Agreement shall be effective unless made in writing with the mutual express consent of the parties hereto. The terms and conditions set out in the Letter of Offer referred to in the First Schedule hereto pursuant to which this Agreement is granted shall remain in full force and effect as between the parties in so far as the same are not fulfilled. However, where there is any inconsistency between the Letter of Offer and this Agreement, the terms of this Agreement shall prevail.</w:t>
      </w:r>
    </w:p>
    <w:p>
      <w:pPr>
        <w:spacing w:after="0" w:line="68"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7"/>
          <w:szCs w:val="17"/>
          <w:u w:val="single" w:color="auto"/>
          <w:color w:val="auto"/>
        </w:rPr>
        <w:t>Notices</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notice under this Agreement shall be in writing. Any notice to the Tenant shall be sufficiently served if left addressed to the Tenant on the Demised Premises or sent to the Tenant by registered post or left at the Tenant's last known address at Singapore.</w:t>
      </w:r>
    </w:p>
    <w:p>
      <w:pPr>
        <w:spacing w:after="0" w:line="46"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7"/>
          <w:szCs w:val="17"/>
          <w:u w:val="single" w:color="auto"/>
          <w:color w:val="auto"/>
        </w:rPr>
        <w:t>Marginal Notes, Schedules and Annexures, and Clauses</w:t>
      </w:r>
    </w:p>
    <w:p>
      <w:pPr>
        <w:spacing w:after="0" w:line="90" w:lineRule="exact"/>
        <w:rPr>
          <w:sz w:val="20"/>
          <w:szCs w:val="20"/>
          <w:color w:val="auto"/>
        </w:rPr>
      </w:pPr>
    </w:p>
    <w:p>
      <w:pPr>
        <w:jc w:val="both"/>
        <w:ind w:left="760" w:hanging="3"/>
        <w:spacing w:after="0" w:line="253" w:lineRule="auto"/>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headings and marginal notes appearing in this Agreement are inserted only as a matter of convenience and in no way define limit construe or describe the scope or intent of the sections or clauses of this Agreement nor in any way affect this Agreement.</w:t>
      </w:r>
    </w:p>
    <w:p>
      <w:pPr>
        <w:spacing w:after="0" w:line="33" w:lineRule="exact"/>
        <w:rPr>
          <w:rFonts w:ascii="Arial" w:cs="Arial" w:eastAsia="Arial" w:hAnsi="Arial"/>
          <w:sz w:val="18"/>
          <w:szCs w:val="18"/>
          <w:color w:val="auto"/>
        </w:rPr>
      </w:pPr>
    </w:p>
    <w:p>
      <w:pPr>
        <w:jc w:val="both"/>
        <w:ind w:left="760" w:hanging="3"/>
        <w:spacing w:after="0" w:line="253" w:lineRule="auto"/>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schedules and annexures to this Agreement form part of this Agreement and shall be given effect in the same manner as if embodied in this Agreement. In particular the Landlord and the Tenant agree that the amendments stipulated in the Fourth Schedule shall be read together with all other parts of this Agreement.</w:t>
      </w:r>
    </w:p>
    <w:p>
      <w:pPr>
        <w:spacing w:after="0" w:line="47" w:lineRule="exact"/>
        <w:rPr>
          <w:rFonts w:ascii="Arial" w:cs="Arial" w:eastAsia="Arial" w:hAnsi="Arial"/>
          <w:sz w:val="18"/>
          <w:szCs w:val="18"/>
          <w:color w:val="auto"/>
        </w:rPr>
      </w:pPr>
    </w:p>
    <w:p>
      <w:pPr>
        <w:ind w:left="1160" w:hanging="403"/>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reference to a clause in this Agreement shall mean a reference to a clause contained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948055</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1" w:name="page232"/>
    <w:bookmarkEnd w:id="231"/>
    <w:p>
      <w:pPr>
        <w:spacing w:after="0" w:line="126"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7"/>
          <w:szCs w:val="17"/>
          <w:u w:val="single" w:color="auto"/>
          <w:color w:val="auto"/>
        </w:rPr>
        <w:t>Non Merger</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Notwithstanding anything hereinbefore contained the obligations of the Tenant under this Agreement shall survive the determination of this Agreement whether by the effluxion of time or otherwise to the extent of such obligations which are due for performance by the Tenant prior to such determination and have not been fulfilled by the Tenant prior to such determination.</w:t>
      </w:r>
    </w:p>
    <w:p>
      <w:pPr>
        <w:spacing w:after="0" w:line="61"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7"/>
          <w:szCs w:val="17"/>
          <w:u w:val="single" w:color="auto"/>
          <w:color w:val="auto"/>
        </w:rPr>
        <w:t>Contracts (Rights of Third Parties) Act</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person who is not a party to this Lease has no right under the Contracts (Rights of Third Parties) Act (Cap 53B) to enforce any term of this Agreement.</w:t>
      </w:r>
    </w:p>
    <w:p>
      <w:pPr>
        <w:spacing w:after="0" w:line="46"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7"/>
          <w:szCs w:val="17"/>
          <w:u w:val="single" w:color="auto"/>
          <w:color w:val="auto"/>
        </w:rPr>
        <w:t>Confidentiality</w:t>
      </w:r>
    </w:p>
    <w:p>
      <w:pPr>
        <w:spacing w:after="0" w:line="9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Tenant undertakes and agrees to keep strictly secret and confidential, and under no circumstances (including not making any announcements and/or releasing press releases) to disclose to any person or entity which is not a party to this Agreement, any confidential information arising from or in connection with this Lease, in particular any of the terms and conditions of this Agreement, or the details pertaining to the rent and service charge or any other sums due under this Agreement, unless disclosure of such information is expressly permitted by prior written consent of the Landlord or as required by law or to the extent that such information has become public knowledge not due to the Tenant's breach of this undertaking.</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Governing Law</w:t>
      </w:r>
    </w:p>
    <w:p>
      <w:pPr>
        <w:spacing w:after="0" w:line="77" w:lineRule="exact"/>
        <w:rPr>
          <w:sz w:val="20"/>
          <w:szCs w:val="20"/>
          <w:color w:val="auto"/>
        </w:rPr>
      </w:pPr>
    </w:p>
    <w:p>
      <w:pPr>
        <w:ind w:left="1160" w:hanging="403"/>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This Agreement shall be construed and governed by the laws of Singapore.</w:t>
      </w:r>
    </w:p>
    <w:p>
      <w:pPr>
        <w:spacing w:after="0" w:line="90" w:lineRule="exact"/>
        <w:rPr>
          <w:rFonts w:ascii="Arial" w:cs="Arial" w:eastAsia="Arial" w:hAnsi="Arial"/>
          <w:sz w:val="18"/>
          <w:szCs w:val="18"/>
          <w:color w:val="auto"/>
        </w:rPr>
      </w:pPr>
    </w:p>
    <w:p>
      <w:pPr>
        <w:ind w:left="760" w:hanging="3"/>
        <w:spacing w:after="0" w:line="271" w:lineRule="auto"/>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relation to any legal action or proceeding arising out of or in connection with this Agreement, the parties hereby irrevocably submit to the non-exclusive jurisdiction of the courts of Singapore.</w:t>
      </w:r>
    </w:p>
    <w:p>
      <w:pPr>
        <w:spacing w:after="0" w:line="32" w:lineRule="exact"/>
        <w:rPr>
          <w:rFonts w:ascii="Arial" w:cs="Arial" w:eastAsia="Arial" w:hAnsi="Arial"/>
          <w:sz w:val="18"/>
          <w:szCs w:val="18"/>
          <w:color w:val="auto"/>
        </w:rPr>
      </w:pPr>
    </w:p>
    <w:p>
      <w:pPr>
        <w:jc w:val="both"/>
        <w:ind w:left="760" w:hanging="3"/>
        <w:spacing w:after="0" w:line="247" w:lineRule="auto"/>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service of any writ of summons or any legal process in respect of Proceedings or any other document requiring personal service may be effected on the Tenant by serving a copy of the writ of summons and statement of claim or other originating or legal process on the Tenant at the Tenant's address for service of legal process in Singapore, as stated in the First Schedule hereto or from time to time notified in writing by the Tenant to the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22"/>
          <w:szCs w:val="22"/>
          <w:b w:val="1"/>
          <w:bCs w:val="1"/>
          <w:color w:val="auto"/>
        </w:rPr>
        <w:t>THE FIRST SCHEDULE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1.1</w:t>
      </w:r>
    </w:p>
    <w:p>
      <w:pPr>
        <w:spacing w:after="0" w:line="200" w:lineRule="exact"/>
        <w:rPr>
          <w:sz w:val="20"/>
          <w:szCs w:val="20"/>
          <w:color w:val="auto"/>
        </w:rPr>
      </w:pPr>
    </w:p>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1. Description of the Demised Premises : All that the premises on the </w:t>
      </w:r>
      <w:r>
        <w:rPr>
          <w:rFonts w:ascii="Arial" w:cs="Arial" w:eastAsia="Arial" w:hAnsi="Arial"/>
          <w:sz w:val="18"/>
          <w:szCs w:val="18"/>
          <w:b w:val="1"/>
          <w:bCs w:val="1"/>
          <w:color w:val="auto"/>
        </w:rPr>
        <w:t>20th Storey</w:t>
      </w:r>
      <w:r>
        <w:rPr>
          <w:rFonts w:ascii="Arial" w:cs="Arial" w:eastAsia="Arial" w:hAnsi="Arial"/>
          <w:sz w:val="18"/>
          <w:szCs w:val="18"/>
          <w:color w:val="auto"/>
        </w:rPr>
        <w:t xml:space="preserve"> of Tower 2 of the Building known as Unit No. </w:t>
      </w:r>
      <w:r>
        <w:rPr>
          <w:rFonts w:ascii="Arial" w:cs="Arial" w:eastAsia="Arial" w:hAnsi="Arial"/>
          <w:sz w:val="18"/>
          <w:szCs w:val="18"/>
          <w:b w:val="1"/>
          <w:bCs w:val="1"/>
          <w:color w:val="auto"/>
        </w:rPr>
        <w:t xml:space="preserve">#20-63/64 </w:t>
      </w:r>
      <w:r>
        <w:rPr>
          <w:rFonts w:ascii="Arial" w:cs="Arial" w:eastAsia="Arial" w:hAnsi="Arial"/>
          <w:sz w:val="18"/>
          <w:szCs w:val="18"/>
          <w:color w:val="auto"/>
        </w:rPr>
        <w:t>and shown edged in red on the plan of Demised Premises annexed hereto as</w:t>
      </w:r>
      <w:r>
        <w:rPr>
          <w:rFonts w:ascii="Arial" w:cs="Arial" w:eastAsia="Arial" w:hAnsi="Arial"/>
          <w:sz w:val="18"/>
          <w:szCs w:val="18"/>
          <w:b w:val="1"/>
          <w:bCs w:val="1"/>
          <w:color w:val="auto"/>
        </w:rPr>
        <w:t xml:space="preserve"> ANNEXURE 1 </w:t>
      </w:r>
      <w:r>
        <w:rPr>
          <w:rFonts w:ascii="Arial" w:cs="Arial" w:eastAsia="Arial" w:hAnsi="Arial"/>
          <w:sz w:val="18"/>
          <w:szCs w:val="18"/>
          <w:color w:val="auto"/>
        </w:rPr>
        <w:t>and containing a floor area of</w:t>
      </w:r>
      <w:r>
        <w:rPr>
          <w:rFonts w:ascii="Arial" w:cs="Arial" w:eastAsia="Arial" w:hAnsi="Arial"/>
          <w:sz w:val="18"/>
          <w:szCs w:val="18"/>
          <w:b w:val="1"/>
          <w:bCs w:val="1"/>
          <w:color w:val="auto"/>
        </w:rPr>
        <w:t xml:space="preserve"> 6,753 square feet </w:t>
      </w:r>
      <w:r>
        <w:rPr>
          <w:rFonts w:ascii="Arial" w:cs="Arial" w:eastAsia="Arial" w:hAnsi="Arial"/>
          <w:sz w:val="18"/>
          <w:szCs w:val="18"/>
          <w:color w:val="auto"/>
        </w:rPr>
        <w:t>(subject to final survey of area).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780" w:type="dxa"/>
            <w:vAlign w:val="bottom"/>
          </w:tcPr>
          <w:p>
            <w:pPr>
              <w:ind w:left="120"/>
              <w:spacing w:after="0"/>
              <w:rPr>
                <w:sz w:val="20"/>
                <w:szCs w:val="20"/>
                <w:color w:val="auto"/>
              </w:rPr>
            </w:pPr>
            <w:r>
              <w:rPr>
                <w:rFonts w:ascii="Arial" w:cs="Arial" w:eastAsia="Arial" w:hAnsi="Arial"/>
                <w:sz w:val="18"/>
                <w:szCs w:val="18"/>
                <w:color w:val="auto"/>
              </w:rPr>
              <w:t>Term</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700" w:type="dxa"/>
            <w:vAlign w:val="bottom"/>
            <w:gridSpan w:val="3"/>
          </w:tcPr>
          <w:p>
            <w:pPr>
              <w:ind w:left="160"/>
              <w:spacing w:after="0"/>
              <w:rPr>
                <w:sz w:val="20"/>
                <w:szCs w:val="20"/>
                <w:color w:val="auto"/>
              </w:rPr>
            </w:pPr>
            <w:r>
              <w:rPr>
                <w:rFonts w:ascii="Arial" w:cs="Arial" w:eastAsia="Arial" w:hAnsi="Arial"/>
                <w:sz w:val="18"/>
                <w:szCs w:val="18"/>
                <w:color w:val="auto"/>
              </w:rPr>
              <w:t xml:space="preserve">Commencing from the </w:t>
            </w:r>
            <w:r>
              <w:rPr>
                <w:rFonts w:ascii="Arial" w:cs="Arial" w:eastAsia="Arial" w:hAnsi="Arial"/>
                <w:sz w:val="18"/>
                <w:szCs w:val="18"/>
                <w:b w:val="1"/>
                <w:bCs w:val="1"/>
                <w:color w:val="auto"/>
              </w:rPr>
              <w:t>23rd day of June 2025</w:t>
            </w:r>
            <w:r>
              <w:rPr>
                <w:rFonts w:ascii="Arial" w:cs="Arial" w:eastAsia="Arial" w:hAnsi="Arial"/>
                <w:sz w:val="18"/>
                <w:szCs w:val="18"/>
                <w:color w:val="auto"/>
              </w:rPr>
              <w:t xml:space="preserve"> or on the day following the expiry of the Fitting Out Period, whichever is</w:t>
            </w:r>
          </w:p>
        </w:tc>
      </w:tr>
      <w:tr>
        <w:trPr>
          <w:trHeight w:val="247"/>
        </w:trPr>
        <w:tc>
          <w:tcPr>
            <w:tcW w:w="11140" w:type="dxa"/>
            <w:vAlign w:val="bottom"/>
            <w:gridSpan w:val="6"/>
          </w:tcPr>
          <w:p>
            <w:pPr>
              <w:spacing w:after="0"/>
              <w:rPr>
                <w:sz w:val="20"/>
                <w:szCs w:val="20"/>
                <w:color w:val="auto"/>
              </w:rPr>
            </w:pPr>
            <w:r>
              <w:rPr>
                <w:rFonts w:ascii="Arial" w:cs="Arial" w:eastAsia="Arial" w:hAnsi="Arial"/>
                <w:sz w:val="18"/>
                <w:szCs w:val="18"/>
                <w:color w:val="auto"/>
              </w:rPr>
              <w:t xml:space="preserve">the later and expiring on the </w:t>
            </w:r>
            <w:r>
              <w:rPr>
                <w:rFonts w:ascii="Arial" w:cs="Arial" w:eastAsia="Arial" w:hAnsi="Arial"/>
                <w:sz w:val="18"/>
                <w:szCs w:val="18"/>
                <w:b w:val="1"/>
                <w:bCs w:val="1"/>
                <w:color w:val="auto"/>
              </w:rPr>
              <w:t>30th day of June 2027</w:t>
            </w:r>
            <w:r>
              <w:rPr>
                <w:rFonts w:ascii="Arial" w:cs="Arial" w:eastAsia="Arial" w:hAnsi="Arial"/>
                <w:sz w:val="18"/>
                <w:szCs w:val="18"/>
                <w:color w:val="auto"/>
              </w:rPr>
              <w:t>.</w:t>
            </w:r>
          </w:p>
        </w:tc>
      </w:tr>
      <w:tr>
        <w:trPr>
          <w:trHeight w:val="621"/>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Clause 1.2</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00" w:type="dxa"/>
            <w:vAlign w:val="bottom"/>
          </w:tcPr>
          <w:p>
            <w:pPr>
              <w:spacing w:after="0"/>
              <w:rPr>
                <w:sz w:val="24"/>
                <w:szCs w:val="24"/>
                <w:color w:val="auto"/>
              </w:rPr>
            </w:pPr>
          </w:p>
        </w:tc>
      </w:tr>
      <w:tr>
        <w:trPr>
          <w:trHeight w:val="577"/>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780" w:type="dxa"/>
            <w:vAlign w:val="bottom"/>
          </w:tcPr>
          <w:p>
            <w:pPr>
              <w:ind w:left="120"/>
              <w:spacing w:after="0"/>
              <w:rPr>
                <w:sz w:val="20"/>
                <w:szCs w:val="20"/>
                <w:color w:val="auto"/>
              </w:rPr>
            </w:pPr>
            <w:r>
              <w:rPr>
                <w:rFonts w:ascii="Arial" w:cs="Arial" w:eastAsia="Arial" w:hAnsi="Arial"/>
                <w:sz w:val="18"/>
                <w:szCs w:val="18"/>
                <w:color w:val="auto"/>
              </w:rPr>
              <w:t>Rent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70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 xml:space="preserve">Dollars Sixty Eight Thousand Eight Hundred Eighty and Cents Sixty Only ($68,880.60) </w:t>
            </w:r>
            <w:r>
              <w:rPr>
                <w:rFonts w:ascii="Arial" w:cs="Arial" w:eastAsia="Arial" w:hAnsi="Arial"/>
                <w:sz w:val="18"/>
                <w:szCs w:val="18"/>
                <w:color w:val="auto"/>
                <w:w w:val="99"/>
              </w:rPr>
              <w:t>per month calculated at the</w:t>
            </w:r>
          </w:p>
        </w:tc>
      </w:tr>
      <w:tr>
        <w:trPr>
          <w:trHeight w:val="247"/>
        </w:trPr>
        <w:tc>
          <w:tcPr>
            <w:tcW w:w="11140" w:type="dxa"/>
            <w:vAlign w:val="bottom"/>
            <w:gridSpan w:val="6"/>
          </w:tcPr>
          <w:p>
            <w:pPr>
              <w:spacing w:after="0"/>
              <w:rPr>
                <w:sz w:val="20"/>
                <w:szCs w:val="20"/>
                <w:color w:val="auto"/>
              </w:rPr>
            </w:pPr>
            <w:r>
              <w:rPr>
                <w:rFonts w:ascii="Arial" w:cs="Arial" w:eastAsia="Arial" w:hAnsi="Arial"/>
                <w:sz w:val="18"/>
                <w:szCs w:val="18"/>
                <w:color w:val="auto"/>
              </w:rPr>
              <w:t xml:space="preserve">rate of </w:t>
            </w:r>
            <w:r>
              <w:rPr>
                <w:rFonts w:ascii="Arial" w:cs="Arial" w:eastAsia="Arial" w:hAnsi="Arial"/>
                <w:sz w:val="18"/>
                <w:szCs w:val="18"/>
                <w:b w:val="1"/>
                <w:bCs w:val="1"/>
                <w:color w:val="auto"/>
              </w:rPr>
              <w:t>$10.20</w:t>
            </w:r>
            <w:r>
              <w:rPr>
                <w:rFonts w:ascii="Arial" w:cs="Arial" w:eastAsia="Arial" w:hAnsi="Arial"/>
                <w:sz w:val="18"/>
                <w:szCs w:val="18"/>
                <w:color w:val="auto"/>
              </w:rPr>
              <w:t xml:space="preserve"> per square foot of the floor area of the Demised Premises per month (subject to adjustment on final survey of area).</w:t>
            </w:r>
          </w:p>
        </w:tc>
      </w:tr>
      <w:tr>
        <w:trPr>
          <w:trHeight w:val="28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1540" w:type="dxa"/>
            <w:vAlign w:val="bottom"/>
            <w:gridSpan w:val="3"/>
          </w:tcPr>
          <w:p>
            <w:pPr>
              <w:ind w:left="120"/>
              <w:spacing w:after="0"/>
              <w:rPr>
                <w:sz w:val="20"/>
                <w:szCs w:val="20"/>
                <w:color w:val="auto"/>
              </w:rPr>
            </w:pPr>
            <w:r>
              <w:rPr>
                <w:rFonts w:ascii="Arial" w:cs="Arial" w:eastAsia="Arial" w:hAnsi="Arial"/>
                <w:sz w:val="18"/>
                <w:szCs w:val="18"/>
                <w:color w:val="auto"/>
              </w:rPr>
              <w:t>Service Charge</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900" w:type="dxa"/>
            <w:vAlign w:val="bottom"/>
          </w:tcPr>
          <w:p>
            <w:pPr>
              <w:ind w:left="160"/>
              <w:spacing w:after="0"/>
              <w:rPr>
                <w:sz w:val="20"/>
                <w:szCs w:val="20"/>
                <w:color w:val="auto"/>
              </w:rPr>
            </w:pPr>
            <w:r>
              <w:rPr>
                <w:rFonts w:ascii="Arial" w:cs="Arial" w:eastAsia="Arial" w:hAnsi="Arial"/>
                <w:sz w:val="18"/>
                <w:szCs w:val="18"/>
                <w:b w:val="1"/>
                <w:bCs w:val="1"/>
                <w:color w:val="auto"/>
              </w:rPr>
              <w:t xml:space="preserve">Dollars Eight Thousand Seven Hundred Seventy Eight and Cents Ninety Only ($8,778.90) </w:t>
            </w:r>
            <w:r>
              <w:rPr>
                <w:rFonts w:ascii="Arial" w:cs="Arial" w:eastAsia="Arial" w:hAnsi="Arial"/>
                <w:sz w:val="18"/>
                <w:szCs w:val="18"/>
                <w:color w:val="auto"/>
              </w:rPr>
              <w:t>per month</w:t>
            </w:r>
          </w:p>
        </w:tc>
      </w:tr>
    </w:tbl>
    <w:p>
      <w:pPr>
        <w:ind w:right="160"/>
        <w:spacing w:after="0" w:line="250" w:lineRule="auto"/>
        <w:rPr>
          <w:sz w:val="20"/>
          <w:szCs w:val="20"/>
          <w:color w:val="auto"/>
        </w:rPr>
      </w:pPr>
      <w:r>
        <w:rPr>
          <w:rFonts w:ascii="Arial" w:cs="Arial" w:eastAsia="Arial" w:hAnsi="Arial"/>
          <w:sz w:val="18"/>
          <w:szCs w:val="18"/>
          <w:color w:val="auto"/>
        </w:rPr>
        <w:t xml:space="preserve">calculated at the rate of </w:t>
      </w:r>
      <w:r>
        <w:rPr>
          <w:rFonts w:ascii="Arial" w:cs="Arial" w:eastAsia="Arial" w:hAnsi="Arial"/>
          <w:sz w:val="18"/>
          <w:szCs w:val="18"/>
          <w:b w:val="1"/>
          <w:bCs w:val="1"/>
          <w:color w:val="auto"/>
        </w:rPr>
        <w:t>$1.30</w:t>
      </w:r>
      <w:r>
        <w:rPr>
          <w:rFonts w:ascii="Arial" w:cs="Arial" w:eastAsia="Arial" w:hAnsi="Arial"/>
          <w:sz w:val="18"/>
          <w:szCs w:val="18"/>
          <w:color w:val="auto"/>
        </w:rPr>
        <w:t xml:space="preserve"> per square foot of the floor area of the Demised Premises per month (subject to adjustment on final survey of area).</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1A.1</w:t>
      </w:r>
    </w:p>
    <w:p>
      <w:pPr>
        <w:spacing w:after="0" w:line="200" w:lineRule="exact"/>
        <w:rPr>
          <w:sz w:val="20"/>
          <w:szCs w:val="20"/>
          <w:color w:val="auto"/>
        </w:rPr>
      </w:pPr>
    </w:p>
    <w:p>
      <w:pPr>
        <w:spacing w:after="0" w:line="21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 xml:space="preserve">5. Fitting Out Period : </w:t>
      </w:r>
      <w:r>
        <w:rPr>
          <w:rFonts w:ascii="Arial" w:cs="Arial" w:eastAsia="Arial" w:hAnsi="Arial"/>
          <w:sz w:val="18"/>
          <w:szCs w:val="18"/>
          <w:b w:val="1"/>
          <w:bCs w:val="1"/>
          <w:color w:val="auto"/>
        </w:rPr>
        <w:t>Two (2) months</w:t>
      </w:r>
      <w:r>
        <w:rPr>
          <w:rFonts w:ascii="Arial" w:cs="Arial" w:eastAsia="Arial" w:hAnsi="Arial"/>
          <w:sz w:val="18"/>
          <w:szCs w:val="18"/>
          <w:color w:val="auto"/>
        </w:rPr>
        <w:t xml:space="preserve"> commencing from </w:t>
      </w:r>
      <w:r>
        <w:rPr>
          <w:rFonts w:ascii="Arial" w:cs="Arial" w:eastAsia="Arial" w:hAnsi="Arial"/>
          <w:sz w:val="18"/>
          <w:szCs w:val="18"/>
          <w:b w:val="1"/>
          <w:bCs w:val="1"/>
          <w:color w:val="auto"/>
        </w:rPr>
        <w:t>23 April 2025</w:t>
      </w:r>
      <w:r>
        <w:rPr>
          <w:rFonts w:ascii="Arial" w:cs="Arial" w:eastAsia="Arial" w:hAnsi="Arial"/>
          <w:sz w:val="18"/>
          <w:szCs w:val="18"/>
          <w:color w:val="auto"/>
        </w:rPr>
        <w:t xml:space="preserve"> or such other later date as informed by the Landlord upon completion of the subdivision works of the Demised Premises.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2.1</w:t>
      </w:r>
    </w:p>
    <w:p>
      <w:pPr>
        <w:spacing w:after="0" w:line="200" w:lineRule="exact"/>
        <w:rPr>
          <w:sz w:val="20"/>
          <w:szCs w:val="20"/>
          <w:color w:val="auto"/>
        </w:rPr>
      </w:pPr>
    </w:p>
    <w:p>
      <w:pPr>
        <w:spacing w:after="0" w:line="214" w:lineRule="exact"/>
        <w:rPr>
          <w:sz w:val="20"/>
          <w:szCs w:val="20"/>
          <w:color w:val="auto"/>
        </w:rPr>
      </w:pPr>
    </w:p>
    <w:p>
      <w:pPr>
        <w:spacing w:after="0"/>
        <w:tabs>
          <w:tab w:leader="none" w:pos="380" w:val="left"/>
          <w:tab w:leader="none" w:pos="1980" w:val="left"/>
          <w:tab w:leader="none" w:pos="2380" w:val="left"/>
        </w:tabs>
        <w:rPr>
          <w:sz w:val="20"/>
          <w:szCs w:val="20"/>
          <w:color w:val="auto"/>
        </w:rPr>
      </w:pPr>
      <w:r>
        <w:rPr>
          <w:rFonts w:ascii="Arial" w:cs="Arial" w:eastAsia="Arial" w:hAnsi="Arial"/>
          <w:sz w:val="18"/>
          <w:szCs w:val="18"/>
          <w:color w:val="auto"/>
        </w:rPr>
        <w:t>6.</w:t>
        <w:tab/>
        <w:t>Security Deposit</w:t>
        <w:tab/>
        <w:t>:</w:t>
      </w:r>
      <w:r>
        <w:rPr>
          <w:sz w:val="20"/>
          <w:szCs w:val="20"/>
          <w:color w:val="auto"/>
        </w:rPr>
        <w:tab/>
      </w:r>
      <w:r>
        <w:rPr>
          <w:rFonts w:ascii="Arial" w:cs="Arial" w:eastAsia="Arial" w:hAnsi="Arial"/>
          <w:sz w:val="17"/>
          <w:szCs w:val="17"/>
          <w:b w:val="1"/>
          <w:bCs w:val="1"/>
          <w:color w:val="auto"/>
        </w:rPr>
        <w:t>Dollars Two Hundred Fifty Three Thousand Nine Hundred Forty Six and Cents Fifty Eight Only</w:t>
      </w:r>
    </w:p>
    <w:p>
      <w:pPr>
        <w:spacing w:after="0" w:line="14"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b w:val="1"/>
          <w:bCs w:val="1"/>
          <w:color w:val="auto"/>
        </w:rPr>
        <w:t xml:space="preserve">($ 253,946.58) </w:t>
      </w:r>
      <w:r>
        <w:rPr>
          <w:rFonts w:ascii="Arial" w:cs="Arial" w:eastAsia="Arial" w:hAnsi="Arial"/>
          <w:sz w:val="18"/>
          <w:szCs w:val="18"/>
          <w:color w:val="auto"/>
        </w:rPr>
        <w:t>or such other sum that is equivalent to</w:t>
      </w:r>
      <w:r>
        <w:rPr>
          <w:rFonts w:ascii="Arial" w:cs="Arial" w:eastAsia="Arial" w:hAnsi="Arial"/>
          <w:sz w:val="18"/>
          <w:szCs w:val="18"/>
          <w:b w:val="1"/>
          <w:bCs w:val="1"/>
          <w:color w:val="auto"/>
        </w:rPr>
        <w:t xml:space="preserve"> three (3) month(s)' </w:t>
      </w:r>
      <w:r>
        <w:rPr>
          <w:rFonts w:ascii="Arial" w:cs="Arial" w:eastAsia="Arial" w:hAnsi="Arial"/>
          <w:sz w:val="18"/>
          <w:szCs w:val="18"/>
          <w:color w:val="auto"/>
        </w:rPr>
        <w:t>Rent and Service Charge including the GST component as if GST</w:t>
      </w:r>
      <w:r>
        <w:rPr>
          <w:rFonts w:ascii="Arial" w:cs="Arial" w:eastAsia="Arial" w:hAnsi="Arial"/>
          <w:sz w:val="18"/>
          <w:szCs w:val="18"/>
          <w:b w:val="1"/>
          <w:bCs w:val="1"/>
          <w:color w:val="auto"/>
        </w:rPr>
        <w:t xml:space="preserve"> </w:t>
      </w:r>
      <w:r>
        <w:rPr>
          <w:rFonts w:ascii="Arial" w:cs="Arial" w:eastAsia="Arial" w:hAnsi="Arial"/>
          <w:sz w:val="18"/>
          <w:szCs w:val="18"/>
          <w:color w:val="auto"/>
        </w:rPr>
        <w:t>is payable thereon (subject to adjustment on final survey of area).</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Clause 4.8</w:t>
            </w:r>
          </w:p>
        </w:tc>
        <w:tc>
          <w:tcPr>
            <w:tcW w:w="400" w:type="dxa"/>
            <w:vAlign w:val="bottom"/>
          </w:tcPr>
          <w:p>
            <w:pPr>
              <w:spacing w:after="0"/>
              <w:rPr>
                <w:sz w:val="21"/>
                <w:szCs w:val="21"/>
                <w:color w:val="auto"/>
              </w:rPr>
            </w:pPr>
          </w:p>
        </w:tc>
        <w:tc>
          <w:tcPr>
            <w:tcW w:w="8600" w:type="dxa"/>
            <w:vAlign w:val="bottom"/>
          </w:tcPr>
          <w:p>
            <w:pPr>
              <w:spacing w:after="0"/>
              <w:rPr>
                <w:sz w:val="21"/>
                <w:szCs w:val="21"/>
                <w:color w:val="auto"/>
              </w:rPr>
            </w:pPr>
          </w:p>
        </w:tc>
      </w:tr>
      <w:tr>
        <w:trPr>
          <w:trHeight w:val="621"/>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1960" w:type="dxa"/>
            <w:vAlign w:val="bottom"/>
          </w:tcPr>
          <w:p>
            <w:pPr>
              <w:ind w:left="120"/>
              <w:spacing w:after="0"/>
              <w:rPr>
                <w:sz w:val="20"/>
                <w:szCs w:val="20"/>
                <w:color w:val="auto"/>
              </w:rPr>
            </w:pPr>
            <w:r>
              <w:rPr>
                <w:rFonts w:ascii="Arial" w:cs="Arial" w:eastAsia="Arial" w:hAnsi="Arial"/>
                <w:sz w:val="18"/>
                <w:szCs w:val="18"/>
                <w:color w:val="auto"/>
              </w:rPr>
              <w:t>Option to Renew   :</w:t>
            </w:r>
          </w:p>
        </w:tc>
        <w:tc>
          <w:tcPr>
            <w:tcW w:w="9000" w:type="dxa"/>
            <w:vAlign w:val="bottom"/>
            <w:gridSpan w:val="2"/>
          </w:tcPr>
          <w:p>
            <w:pPr>
              <w:ind w:left="160"/>
              <w:spacing w:after="0"/>
              <w:rPr>
                <w:sz w:val="20"/>
                <w:szCs w:val="20"/>
                <w:color w:val="auto"/>
              </w:rPr>
            </w:pPr>
            <w:r>
              <w:rPr>
                <w:rFonts w:ascii="Arial" w:cs="Arial" w:eastAsia="Arial" w:hAnsi="Arial"/>
                <w:sz w:val="18"/>
                <w:szCs w:val="18"/>
                <w:color w:val="auto"/>
              </w:rPr>
              <w:t xml:space="preserve">Further term of </w:t>
            </w:r>
            <w:r>
              <w:rPr>
                <w:rFonts w:ascii="Arial" w:cs="Arial" w:eastAsia="Arial" w:hAnsi="Arial"/>
                <w:sz w:val="18"/>
                <w:szCs w:val="18"/>
                <w:b w:val="1"/>
                <w:bCs w:val="1"/>
                <w:color w:val="auto"/>
              </w:rPr>
              <w:t>three (3) years</w:t>
            </w:r>
          </w:p>
        </w:tc>
      </w:tr>
      <w:tr>
        <w:trPr>
          <w:trHeight w:val="621"/>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Clause 5.17</w:t>
            </w:r>
          </w:p>
        </w:tc>
        <w:tc>
          <w:tcPr>
            <w:tcW w:w="400" w:type="dxa"/>
            <w:vAlign w:val="bottom"/>
          </w:tcPr>
          <w:p>
            <w:pPr>
              <w:spacing w:after="0"/>
              <w:rPr>
                <w:sz w:val="24"/>
                <w:szCs w:val="24"/>
                <w:color w:val="auto"/>
              </w:rPr>
            </w:pPr>
          </w:p>
        </w:tc>
        <w:tc>
          <w:tcPr>
            <w:tcW w:w="8600" w:type="dxa"/>
            <w:vAlign w:val="bottom"/>
          </w:tcPr>
          <w:p>
            <w:pPr>
              <w:spacing w:after="0"/>
              <w:rPr>
                <w:sz w:val="24"/>
                <w:szCs w:val="24"/>
                <w:color w:val="auto"/>
              </w:rPr>
            </w:pPr>
          </w:p>
        </w:tc>
      </w:tr>
      <w:tr>
        <w:trPr>
          <w:trHeight w:val="621"/>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2360" w:type="dxa"/>
            <w:vAlign w:val="bottom"/>
            <w:gridSpan w:val="2"/>
          </w:tcPr>
          <w:p>
            <w:pPr>
              <w:ind w:left="120"/>
              <w:spacing w:after="0"/>
              <w:rPr>
                <w:sz w:val="20"/>
                <w:szCs w:val="20"/>
                <w:color w:val="auto"/>
              </w:rPr>
            </w:pPr>
            <w:r>
              <w:rPr>
                <w:rFonts w:ascii="Arial" w:cs="Arial" w:eastAsia="Arial" w:hAnsi="Arial"/>
                <w:sz w:val="18"/>
                <w:szCs w:val="18"/>
                <w:color w:val="auto"/>
              </w:rPr>
              <w:t>Number of Carpark Lots :</w:t>
            </w:r>
          </w:p>
        </w:tc>
        <w:tc>
          <w:tcPr>
            <w:tcW w:w="8600" w:type="dxa"/>
            <w:vAlign w:val="bottom"/>
          </w:tcPr>
          <w:p>
            <w:pPr>
              <w:ind w:left="160"/>
              <w:spacing w:after="0"/>
              <w:rPr>
                <w:sz w:val="20"/>
                <w:szCs w:val="20"/>
                <w:color w:val="auto"/>
              </w:rPr>
            </w:pPr>
            <w:r>
              <w:rPr>
                <w:rFonts w:ascii="Arial" w:cs="Arial" w:eastAsia="Arial" w:hAnsi="Arial"/>
                <w:sz w:val="18"/>
                <w:szCs w:val="18"/>
                <w:b w:val="1"/>
                <w:bCs w:val="1"/>
                <w:color w:val="auto"/>
              </w:rPr>
              <w:t xml:space="preserve">One (1) </w:t>
            </w:r>
            <w:r>
              <w:rPr>
                <w:rFonts w:ascii="Arial" w:cs="Arial" w:eastAsia="Arial" w:hAnsi="Arial"/>
                <w:sz w:val="18"/>
                <w:szCs w:val="18"/>
                <w:color w:val="auto"/>
              </w:rPr>
              <w:t>allocated lot(s)</w:t>
            </w:r>
          </w:p>
        </w:tc>
      </w:tr>
      <w:tr>
        <w:trPr>
          <w:trHeight w:val="1439"/>
        </w:trPr>
        <w:tc>
          <w:tcPr>
            <w:tcW w:w="2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33" w:name="page234"/>
    <w:bookmarkEnd w:id="233"/>
    <w:p>
      <w:pPr>
        <w:ind w:firstLine="400"/>
        <w:spacing w:after="0" w:line="271" w:lineRule="auto"/>
        <w:rPr>
          <w:sz w:val="20"/>
          <w:szCs w:val="20"/>
          <w:color w:val="auto"/>
        </w:rPr>
      </w:pPr>
      <w:r>
        <w:rPr>
          <w:rFonts w:ascii="Arial" w:cs="Arial" w:eastAsia="Arial" w:hAnsi="Arial"/>
          <w:sz w:val="18"/>
          <w:szCs w:val="18"/>
          <w:color w:val="auto"/>
        </w:rPr>
        <w:t>Subscription Period : The period commencing from the date of the Tenant's acceptance of the Letter of Offer and expiring on the date falling one (1) month from the date of commencement of the Term.</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6.4</w:t>
      </w:r>
    </w:p>
    <w:p>
      <w:pPr>
        <w:spacing w:after="0" w:line="200" w:lineRule="exact"/>
        <w:rPr>
          <w:sz w:val="20"/>
          <w:szCs w:val="20"/>
          <w:color w:val="auto"/>
        </w:rPr>
      </w:pPr>
    </w:p>
    <w:p>
      <w:pPr>
        <w:spacing w:after="0" w:line="214" w:lineRule="exact"/>
        <w:rPr>
          <w:sz w:val="20"/>
          <w:szCs w:val="20"/>
          <w:color w:val="auto"/>
        </w:rPr>
      </w:pPr>
    </w:p>
    <w:p>
      <w:pPr>
        <w:ind w:right="80" w:firstLine="8"/>
        <w:spacing w:after="0" w:line="271" w:lineRule="auto"/>
        <w:tabs>
          <w:tab w:leader="none" w:pos="4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Letter of Offer : Letter of Offer dated the </w:t>
      </w:r>
      <w:r>
        <w:rPr>
          <w:rFonts w:ascii="Arial" w:cs="Arial" w:eastAsia="Arial" w:hAnsi="Arial"/>
          <w:sz w:val="18"/>
          <w:szCs w:val="18"/>
          <w:b w:val="1"/>
          <w:bCs w:val="1"/>
          <w:color w:val="auto"/>
        </w:rPr>
        <w:t>19th day of February 2025</w:t>
      </w:r>
      <w:r>
        <w:rPr>
          <w:rFonts w:ascii="Arial" w:cs="Arial" w:eastAsia="Arial" w:hAnsi="Arial"/>
          <w:sz w:val="18"/>
          <w:szCs w:val="18"/>
          <w:color w:val="auto"/>
        </w:rPr>
        <w:t xml:space="preserve"> and all supplements, variations, amendments or additions thereto.</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6.10</w:t>
      </w:r>
    </w:p>
    <w:p>
      <w:pPr>
        <w:spacing w:after="0" w:line="200" w:lineRule="exact"/>
        <w:rPr>
          <w:sz w:val="20"/>
          <w:szCs w:val="20"/>
          <w:color w:val="auto"/>
        </w:rPr>
      </w:pPr>
    </w:p>
    <w:p>
      <w:pPr>
        <w:spacing w:after="0" w:line="214" w:lineRule="exact"/>
        <w:rPr>
          <w:sz w:val="20"/>
          <w:szCs w:val="20"/>
          <w:color w:val="auto"/>
        </w:rPr>
      </w:pPr>
    </w:p>
    <w:p>
      <w:pPr>
        <w:spacing w:after="0"/>
        <w:tabs>
          <w:tab w:leader="none" w:pos="380" w:val="left"/>
          <w:tab w:leader="none" w:pos="4380" w:val="left"/>
          <w:tab w:leader="none" w:pos="4780" w:val="left"/>
        </w:tabs>
        <w:rPr>
          <w:sz w:val="20"/>
          <w:szCs w:val="20"/>
          <w:color w:val="auto"/>
        </w:rPr>
      </w:pPr>
      <w:r>
        <w:rPr>
          <w:rFonts w:ascii="Arial" w:cs="Arial" w:eastAsia="Arial" w:hAnsi="Arial"/>
          <w:sz w:val="18"/>
          <w:szCs w:val="18"/>
          <w:color w:val="auto"/>
        </w:rPr>
        <w:t>10.</w:t>
        <w:tab/>
        <w:t>Tenant's address for service of Legal Process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 Raffles Place #35-61 One Raffles Place Singapore 048616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417" w:right="679" w:bottom="1440" w:gutter="0" w:footer="0" w:header="0"/>
        </w:sectPr>
      </w:pPr>
    </w:p>
    <w:bookmarkStart w:id="234" w:name="page235"/>
    <w:bookmarkEnd w:id="234"/>
    <w:p>
      <w:pPr>
        <w:jc w:val="center"/>
        <w:ind w:right="-259"/>
        <w:spacing w:after="0"/>
        <w:rPr>
          <w:sz w:val="20"/>
          <w:szCs w:val="20"/>
          <w:color w:val="auto"/>
        </w:rPr>
      </w:pPr>
      <w:r>
        <w:rPr>
          <w:rFonts w:ascii="Arial" w:cs="Arial" w:eastAsia="Arial" w:hAnsi="Arial"/>
          <w:sz w:val="22"/>
          <w:szCs w:val="22"/>
          <w:b w:val="1"/>
          <w:bCs w:val="1"/>
          <w:color w:val="auto"/>
        </w:rPr>
        <w:t>THE SECOND SCHEDULE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RIGHTS RESERVED BY THE LANDLORD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Landlord excepts and reserves unto itself the following:-</w:t>
      </w:r>
    </w:p>
    <w:p>
      <w:pPr>
        <w:spacing w:after="0" w:line="104" w:lineRule="exact"/>
        <w:rPr>
          <w:sz w:val="20"/>
          <w:szCs w:val="20"/>
          <w:color w:val="auto"/>
        </w:rPr>
      </w:pPr>
    </w:p>
    <w:p>
      <w:pPr>
        <w:ind w:left="760" w:right="20" w:hanging="3"/>
        <w:spacing w:after="0" w:line="253" w:lineRule="auto"/>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right to the free and uninterrupted passage and running of water, gas, sewage, electricity, air-conditioning services, telephone and other services or supplies from and to other parts of the Building in and through the Pipes and ancillary apparatus which now are or may at any time during the Term be in, on, under or over the Demised Premises;</w:t>
      </w:r>
    </w:p>
    <w:p>
      <w:pPr>
        <w:spacing w:after="0" w:line="47" w:lineRule="exact"/>
        <w:rPr>
          <w:rFonts w:ascii="Arial" w:cs="Arial" w:eastAsia="Arial" w:hAnsi="Arial"/>
          <w:sz w:val="18"/>
          <w:szCs w:val="18"/>
          <w:color w:val="auto"/>
        </w:rPr>
      </w:pPr>
    </w:p>
    <w:p>
      <w:pPr>
        <w:ind w:left="760" w:right="160" w:hanging="3"/>
        <w:spacing w:after="0" w:line="253" w:lineRule="auto"/>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right to erect scaffolding and/or protective barricades for any purpose with or related to the Building or to do any act or thing necessary for the safety and preservation of any part of the Demised Premises or the Building or for the purpose of any upgrading and/or refurbishment and/or retrofitting works in respect of any part of the Building;</w:t>
      </w:r>
    </w:p>
    <w:p>
      <w:pPr>
        <w:spacing w:after="0" w:line="33" w:lineRule="exact"/>
        <w:rPr>
          <w:rFonts w:ascii="Arial" w:cs="Arial" w:eastAsia="Arial" w:hAnsi="Arial"/>
          <w:sz w:val="18"/>
          <w:szCs w:val="18"/>
          <w:color w:val="auto"/>
        </w:rPr>
      </w:pPr>
    </w:p>
    <w:p>
      <w:pPr>
        <w:ind w:left="760" w:hanging="3"/>
        <w:spacing w:after="0" w:line="271" w:lineRule="auto"/>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rights to light, air, support, protection, shelter and all other easements and rights now or after the date of this Agreement belonging to or enjoyed by other parts of the Building; and</w:t>
      </w:r>
    </w:p>
    <w:p>
      <w:pPr>
        <w:spacing w:after="0" w:line="32" w:lineRule="exact"/>
        <w:rPr>
          <w:rFonts w:ascii="Arial" w:cs="Arial" w:eastAsia="Arial" w:hAnsi="Arial"/>
          <w:sz w:val="18"/>
          <w:szCs w:val="18"/>
          <w:color w:val="auto"/>
        </w:rPr>
      </w:pPr>
    </w:p>
    <w:p>
      <w:pPr>
        <w:ind w:left="760" w:right="60" w:hanging="3"/>
        <w:spacing w:after="0" w:line="271" w:lineRule="auto"/>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rights of ingress to and egress from the Demised Premises which the Tenant is obliged to grant the Landlord under this Agreement, or for the Landlord to exercise any of the Landlord's rights,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911225</wp:posOffset>
            </wp:positionV>
            <wp:extent cx="715772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07" w:right="599" w:bottom="1440" w:gutter="0" w:footer="0" w:header="0"/>
        </w:sectPr>
      </w:pPr>
    </w:p>
    <w:bookmarkStart w:id="235" w:name="page236"/>
    <w:bookmarkEnd w:id="235"/>
    <w:p>
      <w:pPr>
        <w:jc w:val="center"/>
        <w:ind w:right="-19"/>
        <w:spacing w:after="0"/>
        <w:rPr>
          <w:sz w:val="20"/>
          <w:szCs w:val="20"/>
          <w:color w:val="auto"/>
        </w:rPr>
      </w:pPr>
      <w:r>
        <w:rPr>
          <w:rFonts w:ascii="Arial" w:cs="Arial" w:eastAsia="Arial" w:hAnsi="Arial"/>
          <w:sz w:val="22"/>
          <w:szCs w:val="22"/>
          <w:b w:val="1"/>
          <w:bCs w:val="1"/>
          <w:color w:val="auto"/>
        </w:rPr>
        <w:t>THE THIRD SCHEDULE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w:t>
      </w:r>
    </w:p>
    <w:p>
      <w:pPr>
        <w:spacing w:after="0" w:line="63"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All the costs expenses and outgoings incurred or to be incurred by the Landlord and/or Management Corporation for providing or procuring the provision of all services which the Landlord and/or Management Corporation may in its discretion from time to time reasonably decide should be provided or which it is reasonably possible to provide for the benefit of tenants occupiers and users of the Building and without prejudice to the generality of the foregoing includes the following services:-</w:t>
      </w:r>
    </w:p>
    <w:p>
      <w:pPr>
        <w:spacing w:after="0" w:line="66" w:lineRule="exact"/>
        <w:rPr>
          <w:sz w:val="20"/>
          <w:szCs w:val="20"/>
          <w:color w:val="auto"/>
        </w:rPr>
      </w:pPr>
    </w:p>
    <w:p>
      <w:pPr>
        <w:ind w:left="760" w:hanging="3"/>
        <w:spacing w:after="0" w:line="242" w:lineRule="auto"/>
        <w:tabs>
          <w:tab w:leader="none" w:pos="11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maintaining repairing renewing (and where appropriate) cleaning repainting and redecorating to such standard as the Landlord and/or the Management Corporation may from time to time consider adequate: (i) the structure the roof foundations and walls of the Building; (ii) the pipes wires cables gutters sewers drains and other conducting media in under or upon the Building which shall serve the same; (iii) the boundary walls fences pathways and approach roads of and in the curtilage of the Building; (iv) all other parts of the common parts of the Building; (v) all parts of the Building containing or used in connection with the provision of the services mentioned in this Schedule;</w:t>
      </w:r>
    </w:p>
    <w:p>
      <w:pPr>
        <w:spacing w:after="0" w:line="57" w:lineRule="exact"/>
        <w:rPr>
          <w:rFonts w:ascii="Arial" w:cs="Arial" w:eastAsia="Arial" w:hAnsi="Arial"/>
          <w:sz w:val="18"/>
          <w:szCs w:val="18"/>
          <w:color w:val="auto"/>
        </w:rPr>
      </w:pPr>
    </w:p>
    <w:p>
      <w:pPr>
        <w:ind w:left="1160" w:hanging="403"/>
        <w:spacing w:after="0"/>
        <w:tabs>
          <w:tab w:leader="none" w:pos="11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providing lift and escalator services;</w:t>
      </w:r>
    </w:p>
    <w:p>
      <w:pPr>
        <w:spacing w:after="0" w:line="90" w:lineRule="exact"/>
        <w:rPr>
          <w:rFonts w:ascii="Arial" w:cs="Arial" w:eastAsia="Arial" w:hAnsi="Arial"/>
          <w:sz w:val="18"/>
          <w:szCs w:val="18"/>
          <w:color w:val="auto"/>
        </w:rPr>
      </w:pPr>
    </w:p>
    <w:p>
      <w:pPr>
        <w:ind w:left="1160" w:hanging="403"/>
        <w:spacing w:after="0"/>
        <w:tabs>
          <w:tab w:leader="none" w:pos="11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providing air-conditioning services;</w:t>
      </w:r>
    </w:p>
    <w:p>
      <w:pPr>
        <w:spacing w:after="0" w:line="76" w:lineRule="exact"/>
        <w:rPr>
          <w:rFonts w:ascii="Arial" w:cs="Arial" w:eastAsia="Arial" w:hAnsi="Arial"/>
          <w:sz w:val="18"/>
          <w:szCs w:val="18"/>
          <w:color w:val="auto"/>
        </w:rPr>
      </w:pPr>
    </w:p>
    <w:p>
      <w:pPr>
        <w:ind w:left="760" w:right="400" w:hanging="3"/>
        <w:spacing w:after="0" w:line="271" w:lineRule="auto"/>
        <w:tabs>
          <w:tab w:leader="none" w:pos="11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lighting furnishing (including replacement or renewal of carpets ceilings light fittings and furnishings) and decoration of the common parts of the Building;</w:t>
      </w:r>
    </w:p>
    <w:p>
      <w:pPr>
        <w:spacing w:after="0" w:line="32" w:lineRule="exact"/>
        <w:rPr>
          <w:rFonts w:ascii="Arial" w:cs="Arial" w:eastAsia="Arial" w:hAnsi="Arial"/>
          <w:sz w:val="18"/>
          <w:szCs w:val="18"/>
          <w:color w:val="auto"/>
        </w:rPr>
      </w:pPr>
    </w:p>
    <w:p>
      <w:pPr>
        <w:ind w:left="1160" w:hanging="403"/>
        <w:spacing w:after="0"/>
        <w:tabs>
          <w:tab w:leader="none" w:pos="11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tending and keeping tidy and planting with flora such areas of land within the curtilage of the Building;</w:t>
      </w:r>
    </w:p>
    <w:p>
      <w:pPr>
        <w:spacing w:after="0" w:line="90" w:lineRule="exact"/>
        <w:rPr>
          <w:rFonts w:ascii="Arial" w:cs="Arial" w:eastAsia="Arial" w:hAnsi="Arial"/>
          <w:sz w:val="18"/>
          <w:szCs w:val="18"/>
          <w:color w:val="auto"/>
        </w:rPr>
      </w:pPr>
    </w:p>
    <w:p>
      <w:pPr>
        <w:ind w:left="760" w:right="380" w:hanging="3"/>
        <w:spacing w:after="0" w:line="271" w:lineRule="auto"/>
        <w:tabs>
          <w:tab w:leader="none" w:pos="11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cleaning (both inside and outside) all windows in the common parts of the Building and the exterior surfaces of windows in premises demised to tenants;</w:t>
      </w:r>
    </w:p>
    <w:p>
      <w:pPr>
        <w:spacing w:after="0" w:line="18" w:lineRule="exact"/>
        <w:rPr>
          <w:rFonts w:ascii="Arial" w:cs="Arial" w:eastAsia="Arial" w:hAnsi="Arial"/>
          <w:sz w:val="18"/>
          <w:szCs w:val="18"/>
          <w:color w:val="auto"/>
        </w:rPr>
      </w:pPr>
    </w:p>
    <w:p>
      <w:pPr>
        <w:ind w:left="760" w:right="140" w:hanging="3"/>
        <w:spacing w:after="0" w:line="271" w:lineRule="auto"/>
        <w:tabs>
          <w:tab w:leader="none" w:pos="11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maintaining at all times during normal office hours an adequate supply of cold water in the toilets situate in the common parts of the Building and servicing and cleaning the toilets and supplying necessary washing and toilet requisites and equipment;</w:t>
      </w:r>
    </w:p>
    <w:p>
      <w:pPr>
        <w:spacing w:after="0" w:line="32" w:lineRule="exact"/>
        <w:rPr>
          <w:rFonts w:ascii="Arial" w:cs="Arial" w:eastAsia="Arial" w:hAnsi="Arial"/>
          <w:sz w:val="18"/>
          <w:szCs w:val="18"/>
          <w:color w:val="auto"/>
        </w:rPr>
      </w:pPr>
    </w:p>
    <w:p>
      <w:pPr>
        <w:ind w:left="760" w:right="20" w:hanging="3"/>
        <w:spacing w:after="0" w:line="271" w:lineRule="auto"/>
        <w:tabs>
          <w:tab w:leader="none" w:pos="11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supplying maintaining repairing and renewing as need be such fire fighting and alarm equipment in the Demised Premises and the common parts of the Building;</w:t>
      </w:r>
    </w:p>
    <w:p>
      <w:pPr>
        <w:spacing w:after="0" w:line="32" w:lineRule="exact"/>
        <w:rPr>
          <w:rFonts w:ascii="Arial" w:cs="Arial" w:eastAsia="Arial" w:hAnsi="Arial"/>
          <w:sz w:val="18"/>
          <w:szCs w:val="18"/>
          <w:color w:val="auto"/>
        </w:rPr>
      </w:pPr>
    </w:p>
    <w:p>
      <w:pPr>
        <w:jc w:val="center"/>
        <w:ind w:left="760" w:right="140" w:hanging="3"/>
        <w:spacing w:after="0" w:line="275" w:lineRule="auto"/>
        <w:tabs>
          <w:tab w:leader="none" w:pos="116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supplying providing purchasing maintaining renewing replacing repairing and keeping in good and serviceable order and condition all fixtures and fittings bins chutes containers receptacles tools appliances materials and other things which the Landlord and/or the Management Corporation may deem desirable or necessary for the maintenance upkeep or cleanliness of the Building;</w:t>
      </w:r>
    </w:p>
    <w:p>
      <w:pPr>
        <w:spacing w:after="0" w:line="16" w:lineRule="exact"/>
        <w:rPr>
          <w:rFonts w:ascii="Arial" w:cs="Arial" w:eastAsia="Arial" w:hAnsi="Arial"/>
          <w:sz w:val="17"/>
          <w:szCs w:val="17"/>
          <w:color w:val="auto"/>
        </w:rPr>
      </w:pPr>
    </w:p>
    <w:p>
      <w:pPr>
        <w:ind w:left="760" w:right="580" w:hanging="3"/>
        <w:spacing w:after="0" w:line="271" w:lineRule="auto"/>
        <w:tabs>
          <w:tab w:leader="none" w:pos="11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providing a composite name board in the foyer of the Building and all directional signs fire regulation notices fittings and appliances; and</w:t>
      </w:r>
    </w:p>
    <w:p>
      <w:pPr>
        <w:spacing w:after="0" w:line="32" w:lineRule="exact"/>
        <w:rPr>
          <w:rFonts w:ascii="Arial" w:cs="Arial" w:eastAsia="Arial" w:hAnsi="Arial"/>
          <w:sz w:val="18"/>
          <w:szCs w:val="18"/>
          <w:color w:val="auto"/>
        </w:rPr>
      </w:pPr>
    </w:p>
    <w:p>
      <w:pPr>
        <w:ind w:left="760" w:right="160" w:hanging="3"/>
        <w:spacing w:after="0" w:line="271" w:lineRule="auto"/>
        <w:tabs>
          <w:tab w:leader="none" w:pos="11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providing all security and emergency systems for the Building and providing public telephones stationery other items of office use and facilities for staff employed or engaged in connection with any of the services mentioned in this Schedule.</w:t>
      </w:r>
    </w:p>
    <w:p>
      <w:pPr>
        <w:spacing w:after="0" w:line="32" w:lineRule="exact"/>
        <w:rPr>
          <w:rFonts w:ascii="Arial" w:cs="Arial" w:eastAsia="Arial" w:hAnsi="Arial"/>
          <w:sz w:val="18"/>
          <w:szCs w:val="18"/>
          <w:color w:val="auto"/>
        </w:rPr>
      </w:pPr>
    </w:p>
    <w:p>
      <w:pPr>
        <w:ind w:right="220" w:firstLine="8"/>
        <w:spacing w:after="0" w:line="253" w:lineRule="auto"/>
        <w:tabs>
          <w:tab w:leader="none" w:pos="4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cost of periodically inspecting servicing maintaining repairing amending or overhauling the lifts lift shafts air-conditioning stand-by generator boilers water tanks and plumbing apparatus lightning conductor equipment sprinkler system fire fighting and alarm equipment electrical and mechanical equipment and other apparatus plant and machinery in the Demised Premises and the Building.</w:t>
      </w:r>
    </w:p>
    <w:p>
      <w:pPr>
        <w:spacing w:after="0" w:line="60" w:lineRule="exact"/>
        <w:rPr>
          <w:rFonts w:ascii="Arial" w:cs="Arial" w:eastAsia="Arial" w:hAnsi="Arial"/>
          <w:sz w:val="18"/>
          <w:szCs w:val="18"/>
          <w:color w:val="auto"/>
        </w:rPr>
      </w:pPr>
    </w:p>
    <w:p>
      <w:pPr>
        <w:ind w:right="540" w:firstLine="8"/>
        <w:spacing w:after="0" w:line="271" w:lineRule="auto"/>
        <w:tabs>
          <w:tab w:leader="none" w:pos="4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cost of supply of water electricity oil or other fuel for all purposes in connection with the common parts of the Building and the provision of all services referred to herein.</w:t>
      </w:r>
    </w:p>
    <w:p>
      <w:pPr>
        <w:spacing w:after="0" w:line="45" w:lineRule="exact"/>
        <w:rPr>
          <w:rFonts w:ascii="Arial" w:cs="Arial" w:eastAsia="Arial" w:hAnsi="Arial"/>
          <w:sz w:val="18"/>
          <w:szCs w:val="18"/>
          <w:color w:val="auto"/>
        </w:rPr>
      </w:pPr>
    </w:p>
    <w:p>
      <w:pPr>
        <w:ind w:right="280" w:firstLine="8"/>
        <w:spacing w:after="0" w:line="271" w:lineRule="auto"/>
        <w:tabs>
          <w:tab w:leader="none" w:pos="4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amount of all insurance premiums payable by the Landlord and/or the Management Corporation for providing insurance cover in respect of the Building and all fixtures and fittings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919480</wp:posOffset>
            </wp:positionV>
            <wp:extent cx="715772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36" w:name="page237"/>
    <w:bookmarkEnd w:id="236"/>
    <w:p>
      <w:pPr>
        <w:ind w:firstLine="8"/>
        <w:spacing w:after="0" w:line="271" w:lineRule="auto"/>
        <w:tabs>
          <w:tab w:leader="none" w:pos="4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cost of employing such staff as the Landlord and/or the Management Corporation may in its absolute discretion deem necessary for the performance of the duties and services in and about the Building.</w:t>
      </w:r>
    </w:p>
    <w:p>
      <w:pPr>
        <w:spacing w:after="0" w:line="45" w:lineRule="exact"/>
        <w:rPr>
          <w:rFonts w:ascii="Arial" w:cs="Arial" w:eastAsia="Arial" w:hAnsi="Arial"/>
          <w:sz w:val="18"/>
          <w:szCs w:val="18"/>
          <w:color w:val="auto"/>
        </w:rPr>
      </w:pPr>
    </w:p>
    <w:p>
      <w:pPr>
        <w:ind w:right="40" w:firstLine="8"/>
        <w:spacing w:after="0" w:line="247" w:lineRule="auto"/>
        <w:tabs>
          <w:tab w:leader="none" w:pos="4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All payments and fees whether direct or indirect paid or incurred by the Landlord and/or the Management Corporation to or in respect of any management agent surveyor accountant servant or any Government authority or any other person or body whatsoever in connection with the general management of the Building including but without prejudice to the generality of the foregoing the ascertainment of the amount of the Service Charge and its collection.</w:t>
      </w:r>
    </w:p>
    <w:p>
      <w:pPr>
        <w:spacing w:after="0" w:line="65" w:lineRule="exact"/>
        <w:rPr>
          <w:rFonts w:ascii="Arial" w:cs="Arial" w:eastAsia="Arial" w:hAnsi="Arial"/>
          <w:sz w:val="18"/>
          <w:szCs w:val="18"/>
          <w:color w:val="auto"/>
        </w:rPr>
      </w:pPr>
    </w:p>
    <w:p>
      <w:pPr>
        <w:ind w:right="120" w:firstLine="8"/>
        <w:spacing w:after="0" w:line="271" w:lineRule="auto"/>
        <w:tabs>
          <w:tab w:leader="none" w:pos="4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All rates charges taxes impositions duties assessments and other outgoings now or hereafter during the Term payable by the Landlord and/or the Management Corporation in respect of all parts of the Building not exclusively or ordinarily occupied by a tenant.</w:t>
      </w:r>
    </w:p>
    <w:p>
      <w:pPr>
        <w:spacing w:after="0" w:line="45" w:lineRule="exact"/>
        <w:rPr>
          <w:rFonts w:ascii="Arial" w:cs="Arial" w:eastAsia="Arial" w:hAnsi="Arial"/>
          <w:sz w:val="18"/>
          <w:szCs w:val="18"/>
          <w:color w:val="auto"/>
        </w:rPr>
      </w:pPr>
    </w:p>
    <w:p>
      <w:pPr>
        <w:ind w:right="60" w:firstLine="8"/>
        <w:spacing w:after="0" w:line="271" w:lineRule="auto"/>
        <w:tabs>
          <w:tab w:leader="none" w:pos="4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amount of any turnover tax value added tax or any similar tax or taxes (if any) payable in respect of the provision of services by the Landlord and/or the Management Corporation.</w:t>
      </w:r>
    </w:p>
    <w:p>
      <w:pPr>
        <w:spacing w:after="0" w:line="45" w:lineRule="exact"/>
        <w:rPr>
          <w:rFonts w:ascii="Arial" w:cs="Arial" w:eastAsia="Arial" w:hAnsi="Arial"/>
          <w:sz w:val="18"/>
          <w:szCs w:val="18"/>
          <w:color w:val="auto"/>
        </w:rPr>
      </w:pPr>
    </w:p>
    <w:p>
      <w:pPr>
        <w:ind w:left="400" w:hanging="392"/>
        <w:spacing w:after="0"/>
        <w:tabs>
          <w:tab w:leader="none" w:pos="4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Such sum in each year as the Landlord and/or the Management Corporation may decide to set aside as a fund to cover repairs</w:t>
      </w:r>
    </w:p>
    <w:p>
      <w:pPr>
        <w:spacing w:after="0" w:line="13" w:lineRule="exact"/>
        <w:rPr>
          <w:rFonts w:ascii="Arial" w:cs="Arial" w:eastAsia="Arial" w:hAnsi="Arial"/>
          <w:sz w:val="18"/>
          <w:szCs w:val="18"/>
          <w:color w:val="auto"/>
        </w:rPr>
      </w:pPr>
    </w:p>
    <w:p>
      <w:pPr>
        <w:ind w:right="320"/>
        <w:spacing w:after="0" w:line="242" w:lineRule="auto"/>
        <w:rPr>
          <w:rFonts w:ascii="Arial" w:cs="Arial" w:eastAsia="Arial" w:hAnsi="Arial"/>
          <w:sz w:val="18"/>
          <w:szCs w:val="18"/>
          <w:color w:val="auto"/>
        </w:rPr>
      </w:pPr>
      <w:r>
        <w:rPr>
          <w:rFonts w:ascii="Arial" w:cs="Arial" w:eastAsia="Arial" w:hAnsi="Arial"/>
          <w:sz w:val="18"/>
          <w:szCs w:val="18"/>
          <w:color w:val="auto"/>
        </w:rPr>
        <w:t>renovations replacements and maintenance of a substantial but infrequent or irregular nature of the Building and the plant machinery and electrical and other apparatus therein including lifts air-conditioning plant and fire fighting equipment and depreciation of the said plant machinery and electrical and other apparatus and any other replacements thereof.</w:t>
      </w:r>
    </w:p>
    <w:p>
      <w:pPr>
        <w:spacing w:after="0" w:line="71" w:lineRule="exact"/>
        <w:rPr>
          <w:rFonts w:ascii="Arial" w:cs="Arial" w:eastAsia="Arial" w:hAnsi="Arial"/>
          <w:sz w:val="18"/>
          <w:szCs w:val="18"/>
          <w:color w:val="auto"/>
        </w:rPr>
      </w:pPr>
    </w:p>
    <w:p>
      <w:pPr>
        <w:ind w:right="80" w:firstLine="8"/>
        <w:spacing w:after="0" w:line="253" w:lineRule="auto"/>
        <w:tabs>
          <w:tab w:leader="none" w:pos="4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amount which the Landlord and/or the Management Corporation shall be called upon to pay as a contribution towards the expense of making repairing maintaining rebuilding and cleansing all ways roads pavements sewers drains pipes watercourses party walls party structures or other conveniences which may belong to or be used for the Building in common with other premises near or adjoining thereto.</w:t>
      </w:r>
    </w:p>
    <w:p>
      <w:pPr>
        <w:spacing w:after="0" w:line="60" w:lineRule="exact"/>
        <w:rPr>
          <w:rFonts w:ascii="Arial" w:cs="Arial" w:eastAsia="Arial" w:hAnsi="Arial"/>
          <w:sz w:val="18"/>
          <w:szCs w:val="18"/>
          <w:color w:val="auto"/>
        </w:rPr>
      </w:pPr>
    </w:p>
    <w:p>
      <w:pPr>
        <w:ind w:right="300" w:firstLine="8"/>
        <w:spacing w:after="0" w:line="271" w:lineRule="auto"/>
        <w:tabs>
          <w:tab w:leader="none" w:pos="4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cost to the Landlord and/or the Management Corporation of complying with any statutory requirements in respect of the Building made for the benefit or protection of the occupiers.</w:t>
      </w:r>
    </w:p>
    <w:p>
      <w:pPr>
        <w:spacing w:after="0" w:line="45" w:lineRule="exact"/>
        <w:rPr>
          <w:rFonts w:ascii="Arial" w:cs="Arial" w:eastAsia="Arial" w:hAnsi="Arial"/>
          <w:sz w:val="18"/>
          <w:szCs w:val="18"/>
          <w:color w:val="auto"/>
        </w:rPr>
      </w:pPr>
    </w:p>
    <w:p>
      <w:pPr>
        <w:ind w:right="380" w:firstLine="8"/>
        <w:spacing w:after="0" w:line="271" w:lineRule="auto"/>
        <w:tabs>
          <w:tab w:leader="none" w:pos="4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All items of expenditure incurred by the Landlord and/or the Management Corporation in carrying out all other works acts matters or things or in providing all such other services or amenities of any kind whatsoever in relation to the common parts of the Building.</w:t>
      </w:r>
    </w:p>
    <w:p>
      <w:pPr>
        <w:spacing w:after="0" w:line="45" w:lineRule="exact"/>
        <w:rPr>
          <w:rFonts w:ascii="Arial" w:cs="Arial" w:eastAsia="Arial" w:hAnsi="Arial"/>
          <w:sz w:val="18"/>
          <w:szCs w:val="18"/>
          <w:color w:val="auto"/>
        </w:rPr>
      </w:pPr>
    </w:p>
    <w:p>
      <w:pPr>
        <w:ind w:right="640" w:firstLine="8"/>
        <w:spacing w:after="0" w:line="271" w:lineRule="auto"/>
        <w:tabs>
          <w:tab w:leader="none" w:pos="4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Upon termination of the Term for any reason whatsoever the Tenant shall have no claim for any refund of its payment of Service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919480</wp:posOffset>
            </wp:positionV>
            <wp:extent cx="7157720"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37" w:name="page238"/>
    <w:bookmarkEnd w:id="237"/>
    <w:p>
      <w:pPr>
        <w:jc w:val="right"/>
        <w:ind w:right="3199"/>
        <w:spacing w:after="0"/>
        <w:rPr>
          <w:sz w:val="20"/>
          <w:szCs w:val="20"/>
          <w:color w:val="auto"/>
        </w:rPr>
      </w:pPr>
      <w:r>
        <w:rPr>
          <w:rFonts w:ascii="Arial" w:cs="Arial" w:eastAsia="Arial" w:hAnsi="Arial"/>
          <w:sz w:val="22"/>
          <w:szCs w:val="22"/>
          <w:b w:val="1"/>
          <w:bCs w:val="1"/>
          <w:color w:val="auto"/>
        </w:rPr>
        <w:t>THE FOURTH SCHEDULE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Landlord and the Tenant agree that this Agreement shall be amended as follows:</w:t>
      </w:r>
    </w:p>
    <w:p>
      <w:pPr>
        <w:spacing w:after="0" w:line="200" w:lineRule="exact"/>
        <w:rPr>
          <w:sz w:val="20"/>
          <w:szCs w:val="20"/>
          <w:color w:val="auto"/>
        </w:rPr>
      </w:pPr>
    </w:p>
    <w:p>
      <w:pPr>
        <w:spacing w:after="0" w:line="209" w:lineRule="exact"/>
        <w:rPr>
          <w:sz w:val="20"/>
          <w:szCs w:val="20"/>
          <w:color w:val="auto"/>
        </w:rPr>
      </w:pPr>
    </w:p>
    <w:p>
      <w:pPr>
        <w:ind w:left="5460"/>
        <w:spacing w:after="0"/>
        <w:rPr>
          <w:sz w:val="20"/>
          <w:szCs w:val="20"/>
          <w:color w:val="auto"/>
        </w:rPr>
      </w:pPr>
      <w:r>
        <w:rPr>
          <w:rFonts w:ascii="Arial" w:cs="Arial" w:eastAsia="Arial" w:hAnsi="Arial"/>
          <w:sz w:val="20"/>
          <w:szCs w:val="20"/>
          <w:b w:val="1"/>
          <w:bCs w:val="1"/>
          <w:color w:val="auto"/>
        </w:rPr>
        <w:t>NIL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7" w:right="1440" w:bottom="1440" w:gutter="0" w:footer="0" w:header="0"/>
        </w:sectPr>
      </w:pPr>
    </w:p>
    <w:bookmarkStart w:id="238" w:name="page239"/>
    <w:bookmarkEnd w:id="238"/>
    <w:p>
      <w:pPr>
        <w:jc w:val="center"/>
        <w:spacing w:after="0"/>
        <w:rPr>
          <w:sz w:val="20"/>
          <w:szCs w:val="20"/>
          <w:color w:val="auto"/>
        </w:rPr>
      </w:pPr>
      <w:r>
        <w:rPr>
          <w:rFonts w:ascii="Arial" w:cs="Arial" w:eastAsia="Arial" w:hAnsi="Arial"/>
          <w:sz w:val="22"/>
          <w:szCs w:val="22"/>
          <w:b w:val="1"/>
          <w:bCs w:val="1"/>
          <w:color w:val="auto"/>
        </w:rPr>
        <w:t>REINSTATEMENT SCHEDULE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Reinstatement of the Demised Premises</w:t>
      </w:r>
    </w:p>
    <w:p>
      <w:pPr>
        <w:spacing w:after="0" w:line="306" w:lineRule="exact"/>
        <w:rPr>
          <w:sz w:val="20"/>
          <w:szCs w:val="20"/>
          <w:color w:val="auto"/>
        </w:rPr>
      </w:pPr>
    </w:p>
    <w:p>
      <w:pPr>
        <w:ind w:firstLine="8"/>
        <w:spacing w:after="0" w:line="247" w:lineRule="auto"/>
        <w:tabs>
          <w:tab w:leader="none" w:pos="4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Upon expiration or early termination of this Lease or surrender of the Demised Premises to the Landlord, the Tenant shall at its own cost and expense reinstate the Demised Premises back to a bare condition as per the specifications set out in the Building Base Plans which can be obtained from the Landlord or from the Landlord's Building management office) and the requirements spelt out in this Reinstatement Schedule.</w:t>
      </w:r>
    </w:p>
    <w:p>
      <w:pPr>
        <w:spacing w:after="0" w:line="65" w:lineRule="exact"/>
        <w:rPr>
          <w:rFonts w:ascii="Arial" w:cs="Arial" w:eastAsia="Arial" w:hAnsi="Arial"/>
          <w:sz w:val="18"/>
          <w:szCs w:val="18"/>
          <w:color w:val="auto"/>
        </w:rPr>
      </w:pPr>
    </w:p>
    <w:p>
      <w:pPr>
        <w:ind w:left="400" w:hanging="392"/>
        <w:spacing w:after="0"/>
        <w:tabs>
          <w:tab w:leader="none" w:pos="4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scope of reinstatement works shall encompass the following :-</w:t>
      </w:r>
    </w:p>
    <w:p>
      <w:pPr>
        <w:spacing w:after="0" w:line="103" w:lineRule="exact"/>
        <w:rPr>
          <w:rFonts w:ascii="Arial" w:cs="Arial" w:eastAsia="Arial" w:hAnsi="Arial"/>
          <w:sz w:val="18"/>
          <w:szCs w:val="18"/>
          <w:color w:val="auto"/>
        </w:rPr>
      </w:pPr>
    </w:p>
    <w:p>
      <w:pPr>
        <w:ind w:left="1160" w:hanging="403"/>
        <w:spacing w:after="0"/>
        <w:tabs>
          <w:tab w:leader="none" w:pos="1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Demolition of all existing partitions, doors, built-in furniture/ fixtures/ installations, floor finishes, wall finishes and any other</w:t>
      </w:r>
    </w:p>
    <w:p>
      <w:pPr>
        <w:spacing w:after="0" w:line="13" w:lineRule="exact"/>
        <w:rPr>
          <w:rFonts w:ascii="Arial" w:cs="Arial" w:eastAsia="Arial" w:hAnsi="Arial"/>
          <w:sz w:val="18"/>
          <w:szCs w:val="18"/>
          <w:color w:val="auto"/>
        </w:rPr>
      </w:pPr>
    </w:p>
    <w:p>
      <w:pPr>
        <w:jc w:val="both"/>
        <w:ind w:left="760" w:right="20"/>
        <w:spacing w:after="0" w:line="242" w:lineRule="auto"/>
        <w:rPr>
          <w:rFonts w:ascii="Arial" w:cs="Arial" w:eastAsia="Arial" w:hAnsi="Arial"/>
          <w:sz w:val="18"/>
          <w:szCs w:val="18"/>
          <w:color w:val="auto"/>
        </w:rPr>
      </w:pPr>
      <w:r>
        <w:rPr>
          <w:rFonts w:ascii="Arial" w:cs="Arial" w:eastAsia="Arial" w:hAnsi="Arial"/>
          <w:sz w:val="18"/>
          <w:szCs w:val="18"/>
          <w:color w:val="auto"/>
        </w:rPr>
        <w:t>fitting out works fixtures carried out by any previous occupiers (if any) and/or subsequent fitting out works carried out by the Tenant. All fitting out works shall be totally removed and cleared from the site in order to render the Demised Premises vacant and free from rubbish and waste materials.</w:t>
      </w:r>
    </w:p>
    <w:p>
      <w:pPr>
        <w:spacing w:after="0" w:line="57" w:lineRule="exact"/>
        <w:rPr>
          <w:rFonts w:ascii="Arial" w:cs="Arial" w:eastAsia="Arial" w:hAnsi="Arial"/>
          <w:sz w:val="18"/>
          <w:szCs w:val="18"/>
          <w:color w:val="auto"/>
        </w:rPr>
      </w:pPr>
    </w:p>
    <w:p>
      <w:pPr>
        <w:ind w:left="760" w:right="240" w:hanging="3"/>
        <w:spacing w:after="0" w:line="253" w:lineRule="auto"/>
        <w:tabs>
          <w:tab w:leader="none" w:pos="1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floors shall be reinstated to built-in raised floor (of bare cement, sand screed flooring or marble/granite flooring, as the case may be). All damage to the floors including but not limited to floor hackings and cutting out (intentionally made or otherwise) shall be rectified and made good.</w:t>
      </w:r>
    </w:p>
    <w:p>
      <w:pPr>
        <w:spacing w:after="0" w:line="33" w:lineRule="exact"/>
        <w:rPr>
          <w:rFonts w:ascii="Arial" w:cs="Arial" w:eastAsia="Arial" w:hAnsi="Arial"/>
          <w:sz w:val="18"/>
          <w:szCs w:val="18"/>
          <w:color w:val="auto"/>
        </w:rPr>
      </w:pPr>
    </w:p>
    <w:p>
      <w:pPr>
        <w:jc w:val="both"/>
        <w:ind w:left="760" w:right="240" w:hanging="3"/>
        <w:spacing w:after="0" w:line="301" w:lineRule="auto"/>
        <w:tabs>
          <w:tab w:leader="none" w:pos="116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All original walls/columns as per the architectural layout plan referred to in paragraph 3 of this Schedule shall be made good and reinstated to bare plaster surfaces and/or gypsum board (where applicable) and painted over with 2 coats of emulsion paint.</w:t>
      </w:r>
    </w:p>
    <w:p>
      <w:pPr>
        <w:spacing w:after="0" w:line="9" w:lineRule="exact"/>
        <w:rPr>
          <w:rFonts w:ascii="Arial" w:cs="Arial" w:eastAsia="Arial" w:hAnsi="Arial"/>
          <w:sz w:val="17"/>
          <w:szCs w:val="17"/>
          <w:color w:val="auto"/>
        </w:rPr>
      </w:pPr>
    </w:p>
    <w:p>
      <w:pPr>
        <w:ind w:left="760" w:right="800" w:hanging="3"/>
        <w:spacing w:after="0" w:line="301" w:lineRule="auto"/>
        <w:tabs>
          <w:tab w:leader="none" w:pos="116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All glass windows, aluminium curtain wallings and locking accessories shall be of original condition as advised by the Landlord. All damages, drilling, punctures, dents, cut-outs, alterations and broken glass panes shall be rectified/replaced.</w:t>
      </w:r>
    </w:p>
    <w:p>
      <w:pPr>
        <w:spacing w:after="0" w:line="9" w:lineRule="exact"/>
        <w:rPr>
          <w:rFonts w:ascii="Arial" w:cs="Arial" w:eastAsia="Arial" w:hAnsi="Arial"/>
          <w:sz w:val="17"/>
          <w:szCs w:val="17"/>
          <w:color w:val="auto"/>
        </w:rPr>
      </w:pPr>
    </w:p>
    <w:p>
      <w:pPr>
        <w:jc w:val="both"/>
        <w:ind w:left="760" w:right="160" w:hanging="3"/>
        <w:spacing w:after="0" w:line="298" w:lineRule="auto"/>
        <w:tabs>
          <w:tab w:leader="none" w:pos="116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All M&amp;E services (if any) provided by the Landlord, shall be of original design, quantities and condition. Any alterations to the M&amp;E system shall be reinstated to the original positions to comply with the relevant authorities' requirements and code of practice.</w:t>
      </w:r>
    </w:p>
    <w:p>
      <w:pPr>
        <w:ind w:left="1160" w:hanging="403"/>
        <w:spacing w:after="0"/>
        <w:tabs>
          <w:tab w:leader="none" w:pos="1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removal of ceiling system except where, in some cases, provided by the Landlord.</w:t>
      </w:r>
    </w:p>
    <w:p>
      <w:pPr>
        <w:spacing w:after="0" w:line="90" w:lineRule="exact"/>
        <w:rPr>
          <w:rFonts w:ascii="Arial" w:cs="Arial" w:eastAsia="Arial" w:hAnsi="Arial"/>
          <w:sz w:val="18"/>
          <w:szCs w:val="18"/>
          <w:color w:val="auto"/>
        </w:rPr>
      </w:pPr>
    </w:p>
    <w:p>
      <w:pPr>
        <w:ind w:left="1160" w:hanging="403"/>
        <w:spacing w:after="0"/>
        <w:tabs>
          <w:tab w:leader="none" w:pos="1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removal of the second layer sprinklers (where applicable).</w:t>
      </w:r>
    </w:p>
    <w:p>
      <w:pPr>
        <w:spacing w:after="0" w:line="90" w:lineRule="exact"/>
        <w:rPr>
          <w:rFonts w:ascii="Arial" w:cs="Arial" w:eastAsia="Arial" w:hAnsi="Arial"/>
          <w:sz w:val="18"/>
          <w:szCs w:val="18"/>
          <w:color w:val="auto"/>
        </w:rPr>
      </w:pPr>
    </w:p>
    <w:p>
      <w:pPr>
        <w:ind w:left="1160" w:hanging="403"/>
        <w:spacing w:after="0"/>
        <w:tabs>
          <w:tab w:leader="none" w:pos="1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removal of all air conditioning flexible ductings (where applicable) up to the fan coil unit.</w:t>
      </w:r>
    </w:p>
    <w:p>
      <w:pPr>
        <w:spacing w:after="0" w:line="76" w:lineRule="exact"/>
        <w:rPr>
          <w:rFonts w:ascii="Arial" w:cs="Arial" w:eastAsia="Arial" w:hAnsi="Arial"/>
          <w:sz w:val="18"/>
          <w:szCs w:val="18"/>
          <w:color w:val="auto"/>
        </w:rPr>
      </w:pPr>
    </w:p>
    <w:p>
      <w:pPr>
        <w:ind w:left="1160" w:hanging="403"/>
        <w:spacing w:after="0"/>
        <w:tabs>
          <w:tab w:leader="none" w:pos="1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replacement of all damaged ceiling boards (where provided).</w:t>
      </w:r>
    </w:p>
    <w:p>
      <w:pPr>
        <w:spacing w:after="0" w:line="90" w:lineRule="exact"/>
        <w:rPr>
          <w:rFonts w:ascii="Arial" w:cs="Arial" w:eastAsia="Arial" w:hAnsi="Arial"/>
          <w:sz w:val="18"/>
          <w:szCs w:val="18"/>
          <w:color w:val="auto"/>
        </w:rPr>
      </w:pPr>
    </w:p>
    <w:p>
      <w:pPr>
        <w:ind w:left="1160" w:hanging="403"/>
        <w:spacing w:after="0"/>
        <w:tabs>
          <w:tab w:leader="none" w:pos="1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covering of all floor traps (where applicable) using stainless steel cover.</w:t>
      </w:r>
    </w:p>
    <w:p>
      <w:pPr>
        <w:spacing w:after="0" w:line="90" w:lineRule="exact"/>
        <w:rPr>
          <w:rFonts w:ascii="Arial" w:cs="Arial" w:eastAsia="Arial" w:hAnsi="Arial"/>
          <w:sz w:val="18"/>
          <w:szCs w:val="18"/>
          <w:color w:val="auto"/>
        </w:rPr>
      </w:pPr>
    </w:p>
    <w:p>
      <w:pPr>
        <w:ind w:left="1160" w:hanging="403"/>
        <w:spacing w:after="0"/>
        <w:tabs>
          <w:tab w:leader="none" w:pos="1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removal of all outgoing cables installed from the distribution board.</w:t>
      </w:r>
    </w:p>
    <w:p>
      <w:pPr>
        <w:spacing w:after="0" w:line="76" w:lineRule="exact"/>
        <w:rPr>
          <w:rFonts w:ascii="Arial" w:cs="Arial" w:eastAsia="Arial" w:hAnsi="Arial"/>
          <w:sz w:val="18"/>
          <w:szCs w:val="18"/>
          <w:color w:val="auto"/>
        </w:rPr>
      </w:pPr>
    </w:p>
    <w:p>
      <w:pPr>
        <w:ind w:right="40" w:firstLine="8"/>
        <w:spacing w:after="0" w:line="271" w:lineRule="auto"/>
        <w:tabs>
          <w:tab w:leader="none" w:pos="4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Tenant shall observe the general guidelines contained in the following plans which are available for inspection by prior appointment at the Landlord's office:</w:t>
      </w:r>
    </w:p>
    <w:p>
      <w:pPr>
        <w:spacing w:after="0" w:line="45" w:lineRule="exact"/>
        <w:rPr>
          <w:rFonts w:ascii="Arial" w:cs="Arial" w:eastAsia="Arial" w:hAnsi="Arial"/>
          <w:sz w:val="18"/>
          <w:szCs w:val="18"/>
          <w:color w:val="auto"/>
        </w:rPr>
      </w:pPr>
    </w:p>
    <w:p>
      <w:pPr>
        <w:ind w:left="1160" w:hanging="403"/>
        <w:spacing w:after="0"/>
        <w:tabs>
          <w:tab w:leader="none" w:pos="1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Air conditioning and mechanical ventilation layout plan;</w:t>
      </w:r>
    </w:p>
    <w:p>
      <w:pPr>
        <w:spacing w:after="0" w:line="90" w:lineRule="exact"/>
        <w:rPr>
          <w:rFonts w:ascii="Arial" w:cs="Arial" w:eastAsia="Arial" w:hAnsi="Arial"/>
          <w:sz w:val="18"/>
          <w:szCs w:val="18"/>
          <w:color w:val="auto"/>
        </w:rPr>
      </w:pPr>
    </w:p>
    <w:p>
      <w:pPr>
        <w:ind w:left="1160" w:hanging="403"/>
        <w:spacing w:after="0"/>
        <w:tabs>
          <w:tab w:leader="none" w:pos="1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Sanitary and plumbing services layout plan;</w:t>
      </w:r>
    </w:p>
    <w:p>
      <w:pPr>
        <w:spacing w:after="0" w:line="90" w:lineRule="exact"/>
        <w:rPr>
          <w:rFonts w:ascii="Arial" w:cs="Arial" w:eastAsia="Arial" w:hAnsi="Arial"/>
          <w:sz w:val="18"/>
          <w:szCs w:val="18"/>
          <w:color w:val="auto"/>
        </w:rPr>
      </w:pPr>
    </w:p>
    <w:p>
      <w:pPr>
        <w:ind w:left="1160" w:hanging="403"/>
        <w:spacing w:after="0"/>
        <w:tabs>
          <w:tab w:leader="none" w:pos="1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Fire protection layout plan; and</w:t>
      </w:r>
    </w:p>
    <w:p>
      <w:pPr>
        <w:spacing w:after="0" w:line="76" w:lineRule="exact"/>
        <w:rPr>
          <w:rFonts w:ascii="Arial" w:cs="Arial" w:eastAsia="Arial" w:hAnsi="Arial"/>
          <w:sz w:val="18"/>
          <w:szCs w:val="18"/>
          <w:color w:val="auto"/>
        </w:rPr>
      </w:pPr>
    </w:p>
    <w:p>
      <w:pPr>
        <w:ind w:left="1160" w:hanging="403"/>
        <w:spacing w:after="0"/>
        <w:tabs>
          <w:tab w:leader="none" w:pos="1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Architectural layout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948055</wp:posOffset>
            </wp:positionV>
            <wp:extent cx="715772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39" w:name="page240"/>
    <w:bookmarkEnd w:id="239"/>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AS WITNESS the hands of the parties hereto.</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20"/>
                <w:szCs w:val="20"/>
                <w:color w:val="auto"/>
              </w:rPr>
            </w:pPr>
            <w:r>
              <w:rPr>
                <w:rFonts w:ascii="Arial" w:cs="Arial" w:eastAsia="Arial" w:hAnsi="Arial"/>
                <w:sz w:val="18"/>
                <w:szCs w:val="18"/>
                <w:color w:val="auto"/>
              </w:rPr>
              <w:t>SIGNED by</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840" w:type="dxa"/>
            <w:vAlign w:val="bottom"/>
            <w:gridSpan w:val="3"/>
          </w:tcPr>
          <w:p>
            <w:pPr>
              <w:ind w:left="140"/>
              <w:spacing w:after="0"/>
              <w:rPr>
                <w:sz w:val="20"/>
                <w:szCs w:val="20"/>
                <w:color w:val="auto"/>
              </w:rPr>
            </w:pPr>
            <w:r>
              <w:rPr>
                <w:rFonts w:ascii="Arial" w:cs="Arial" w:eastAsia="Arial" w:hAnsi="Arial"/>
                <w:sz w:val="18"/>
                <w:szCs w:val="18"/>
                <w:b w:val="1"/>
                <w:bCs w:val="1"/>
                <w:color w:val="auto"/>
              </w:rPr>
              <w:t>Han Khim Siew</w:t>
            </w:r>
          </w:p>
        </w:tc>
      </w:tr>
      <w:tr>
        <w:trPr>
          <w:trHeight w:val="203"/>
        </w:trPr>
        <w:tc>
          <w:tcPr>
            <w:tcW w:w="306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for and on behalf of the </w:t>
            </w:r>
            <w:r>
              <w:rPr>
                <w:rFonts w:ascii="Arial" w:cs="Arial" w:eastAsia="Arial" w:hAnsi="Arial"/>
                <w:sz w:val="18"/>
                <w:szCs w:val="18"/>
                <w:b w:val="1"/>
                <w:bCs w:val="1"/>
                <w:color w:val="auto"/>
              </w:rPr>
              <w:t>LANDLORD</w:t>
            </w:r>
          </w:p>
        </w:tc>
        <w:tc>
          <w:tcPr>
            <w:tcW w:w="520" w:type="dxa"/>
            <w:vAlign w:val="bottom"/>
          </w:tcPr>
          <w:p>
            <w:pPr>
              <w:spacing w:after="0"/>
              <w:rPr>
                <w:sz w:val="17"/>
                <w:szCs w:val="17"/>
                <w:color w:val="auto"/>
              </w:rPr>
            </w:pPr>
          </w:p>
        </w:tc>
        <w:tc>
          <w:tcPr>
            <w:tcW w:w="2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20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Director</w:t>
            </w:r>
          </w:p>
        </w:tc>
      </w:tr>
      <w:tr>
        <w:trPr>
          <w:trHeight w:val="239"/>
        </w:trPr>
        <w:tc>
          <w:tcPr>
            <w:tcW w:w="2720" w:type="dxa"/>
            <w:vAlign w:val="bottom"/>
          </w:tcPr>
          <w:p>
            <w:pPr>
              <w:spacing w:after="0"/>
              <w:rPr>
                <w:sz w:val="20"/>
                <w:szCs w:val="20"/>
                <w:color w:val="auto"/>
              </w:rPr>
            </w:pPr>
            <w:r>
              <w:rPr>
                <w:rFonts w:ascii="Arial" w:cs="Arial" w:eastAsia="Arial" w:hAnsi="Arial"/>
                <w:sz w:val="18"/>
                <w:szCs w:val="18"/>
                <w:color w:val="auto"/>
              </w:rPr>
              <w:t>in the presence of :-</w:t>
            </w:r>
          </w:p>
        </w:tc>
        <w:tc>
          <w:tcPr>
            <w:tcW w:w="340" w:type="dxa"/>
            <w:vAlign w:val="bottom"/>
          </w:tcPr>
          <w:p>
            <w:pPr>
              <w:spacing w:after="0"/>
              <w:rPr>
                <w:sz w:val="20"/>
                <w:szCs w:val="20"/>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w w:val="99"/>
              </w:rPr>
              <w:t>_______________________</w:t>
            </w:r>
          </w:p>
        </w:tc>
      </w:tr>
      <w:tr>
        <w:trPr>
          <w:trHeight w:val="513"/>
        </w:trPr>
        <w:tc>
          <w:tcPr>
            <w:tcW w:w="2720" w:type="dxa"/>
            <w:vAlign w:val="bottom"/>
          </w:tcPr>
          <w:p>
            <w:pPr>
              <w:spacing w:after="0"/>
              <w:rPr>
                <w:sz w:val="20"/>
                <w:szCs w:val="20"/>
                <w:color w:val="auto"/>
              </w:rPr>
            </w:pPr>
            <w:r>
              <w:rPr>
                <w:rFonts w:ascii="Arial" w:cs="Arial" w:eastAsia="Arial" w:hAnsi="Arial"/>
                <w:sz w:val="18"/>
                <w:szCs w:val="18"/>
                <w:color w:val="auto"/>
              </w:rPr>
              <w:t>Witness: Shannon Tay</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11"/>
        </w:trPr>
        <w:tc>
          <w:tcPr>
            <w:tcW w:w="3580" w:type="dxa"/>
            <w:vAlign w:val="bottom"/>
            <w:gridSpan w:val="3"/>
          </w:tcPr>
          <w:p>
            <w:pPr>
              <w:spacing w:after="0"/>
              <w:rPr>
                <w:sz w:val="20"/>
                <w:szCs w:val="20"/>
                <w:color w:val="auto"/>
              </w:rPr>
            </w:pPr>
            <w:r>
              <w:rPr>
                <w:rFonts w:ascii="Arial" w:cs="Arial" w:eastAsia="Arial" w:hAnsi="Arial"/>
                <w:sz w:val="18"/>
                <w:szCs w:val="18"/>
                <w:color w:val="auto"/>
              </w:rPr>
              <w:t>Designation: Head of Marketing Commercial</w:t>
            </w: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895"/>
        </w:trPr>
        <w:tc>
          <w:tcPr>
            <w:tcW w:w="2720" w:type="dxa"/>
            <w:vAlign w:val="bottom"/>
          </w:tcPr>
          <w:p>
            <w:pPr>
              <w:spacing w:after="0"/>
              <w:rPr>
                <w:sz w:val="20"/>
                <w:szCs w:val="20"/>
                <w:color w:val="auto"/>
              </w:rPr>
            </w:pPr>
            <w:r>
              <w:rPr>
                <w:rFonts w:ascii="Arial" w:cs="Arial" w:eastAsia="Arial" w:hAnsi="Arial"/>
                <w:sz w:val="18"/>
                <w:szCs w:val="18"/>
                <w:color w:val="auto"/>
              </w:rPr>
              <w:t>SIGNED by Leon YiJin, Ian</w:t>
            </w:r>
          </w:p>
        </w:tc>
        <w:tc>
          <w:tcPr>
            <w:tcW w:w="34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w w:val="99"/>
              </w:rPr>
              <w:t>_______________________</w:t>
            </w: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 xml:space="preserve">for and on behalf of the </w:t>
            </w:r>
            <w:r>
              <w:rPr>
                <w:rFonts w:ascii="Arial" w:cs="Arial" w:eastAsia="Arial" w:hAnsi="Arial"/>
                <w:sz w:val="18"/>
                <w:szCs w:val="18"/>
                <w:b w:val="1"/>
                <w:bCs w:val="1"/>
                <w:color w:val="auto"/>
              </w:rPr>
              <w:t>TENANT</w:t>
            </w: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2060" w:type="dxa"/>
            <w:vAlign w:val="bottom"/>
          </w:tcPr>
          <w:p>
            <w:pPr>
              <w:ind w:left="160"/>
              <w:spacing w:after="0" w:line="202" w:lineRule="exact"/>
              <w:rPr>
                <w:sz w:val="20"/>
                <w:szCs w:val="20"/>
                <w:color w:val="auto"/>
              </w:rPr>
            </w:pPr>
            <w:r>
              <w:rPr>
                <w:rFonts w:ascii="Arial" w:cs="Arial" w:eastAsia="Arial" w:hAnsi="Arial"/>
                <w:sz w:val="18"/>
                <w:szCs w:val="18"/>
                <w:color w:val="auto"/>
              </w:rPr>
              <w:t>Signature</w:t>
            </w:r>
          </w:p>
        </w:tc>
      </w:tr>
      <w:tr>
        <w:trPr>
          <w:trHeight w:val="239"/>
        </w:trPr>
        <w:tc>
          <w:tcPr>
            <w:tcW w:w="2720" w:type="dxa"/>
            <w:vAlign w:val="bottom"/>
          </w:tcPr>
          <w:p>
            <w:pPr>
              <w:spacing w:after="0"/>
              <w:rPr>
                <w:sz w:val="20"/>
                <w:szCs w:val="20"/>
                <w:color w:val="auto"/>
              </w:rPr>
            </w:pPr>
            <w:r>
              <w:rPr>
                <w:rFonts w:ascii="Arial" w:cs="Arial" w:eastAsia="Arial" w:hAnsi="Arial"/>
                <w:sz w:val="18"/>
                <w:szCs w:val="18"/>
                <w:color w:val="auto"/>
              </w:rPr>
              <w:t>in the presence of:-</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Witness: Pearlyn Loke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Designation: HR BP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40" w:name="page241"/>
    <w:bookmarkEnd w:id="240"/>
    <w:p>
      <w:pPr>
        <w:jc w:val="center"/>
        <w:ind w:right="-79"/>
        <w:spacing w:after="0"/>
        <w:rPr>
          <w:sz w:val="20"/>
          <w:szCs w:val="20"/>
          <w:color w:val="auto"/>
        </w:rPr>
      </w:pPr>
      <w:r>
        <w:rPr>
          <w:rFonts w:ascii="Arial" w:cs="Arial" w:eastAsia="Arial" w:hAnsi="Arial"/>
          <w:sz w:val="23"/>
          <w:szCs w:val="23"/>
          <w:b w:val="1"/>
          <w:bCs w:val="1"/>
          <w:color w:val="auto"/>
        </w:rPr>
        <w:t>OUB CENTRE LIMITED</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Company Reg. No. 198002010D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7 May 2025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Ref: SL/CH/2025/#20-63/64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TIGER BROKERS (SINGAPORE) PTE. LTD.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(Company Registration No. 201810449W)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 Raffles Place #35-61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One Raffles Place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Singapore 048616</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Attention: Mr Leong Yijin, Ian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LETTER TO LEASE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KNOWN AS #20-63/64 ONE RAFFLES PLACE TOWER 2 SINGAPORE 048616 (THE "DEMISED PREMISES")</w:t>
      </w:r>
    </w:p>
    <w:p>
      <w:pPr>
        <w:spacing w:after="0" w:line="200" w:lineRule="exact"/>
        <w:rPr>
          <w:sz w:val="20"/>
          <w:szCs w:val="20"/>
          <w:color w:val="auto"/>
        </w:rPr>
      </w:pPr>
    </w:p>
    <w:p>
      <w:pPr>
        <w:spacing w:after="0" w:line="21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We refer to the Lease Agreement dated 20 March 2025 (the "Lease") between OUB Centre Limited (the "Landlord") and Tiger Brokers (Singapore) Pte Ltd (the "Tenant") in respect of the Demised Premises.</w:t>
      </w:r>
    </w:p>
    <w:p>
      <w:pPr>
        <w:spacing w:after="0" w:line="4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This letter is supplemental to the Lease. Except as otherwise defined in this letter, capitalized terms used in this letter shall have the same meanings as ascribed to them in the Lease.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FLOOR AREA AFTER FINAL SURVEY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We write to inform you that:</w:t>
      </w:r>
    </w:p>
    <w:p>
      <w:pPr>
        <w:spacing w:after="0" w:line="200" w:lineRule="exact"/>
        <w:rPr>
          <w:sz w:val="20"/>
          <w:szCs w:val="20"/>
          <w:color w:val="auto"/>
        </w:rPr>
      </w:pPr>
    </w:p>
    <w:p>
      <w:pPr>
        <w:spacing w:after="0" w:line="214" w:lineRule="exact"/>
        <w:rPr>
          <w:sz w:val="20"/>
          <w:szCs w:val="20"/>
          <w:color w:val="auto"/>
        </w:rPr>
      </w:pPr>
    </w:p>
    <w:p>
      <w:pPr>
        <w:ind w:left="1160" w:hanging="403"/>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Floor Area of the Demised Premises has been surveyed and the surveyed Floor Area is</w:t>
      </w:r>
    </w:p>
    <w:p>
      <w:pPr>
        <w:spacing w:after="0" w:line="90" w:lineRule="exact"/>
        <w:rPr>
          <w:sz w:val="20"/>
          <w:szCs w:val="20"/>
          <w:color w:val="auto"/>
        </w:rPr>
      </w:pPr>
    </w:p>
    <w:p>
      <w:pPr>
        <w:ind w:left="760"/>
        <w:spacing w:after="0" w:line="271" w:lineRule="auto"/>
        <w:rPr>
          <w:sz w:val="20"/>
          <w:szCs w:val="20"/>
          <w:color w:val="auto"/>
        </w:rPr>
      </w:pPr>
      <w:r>
        <w:rPr>
          <w:rFonts w:ascii="Arial" w:cs="Arial" w:eastAsia="Arial" w:hAnsi="Arial"/>
          <w:sz w:val="18"/>
          <w:szCs w:val="18"/>
          <w:b w:val="1"/>
          <w:bCs w:val="1"/>
          <w:color w:val="auto"/>
        </w:rPr>
        <w:t>6,631 square feet (616 square metres)</w:t>
      </w:r>
      <w:r>
        <w:rPr>
          <w:rFonts w:ascii="Arial" w:cs="Arial" w:eastAsia="Arial" w:hAnsi="Arial"/>
          <w:sz w:val="18"/>
          <w:szCs w:val="18"/>
          <w:color w:val="auto"/>
        </w:rPr>
        <w:t>. There is a decrease of 122 square feet from the original estimated floor area. We enclose</w:t>
      </w:r>
      <w:r>
        <w:rPr>
          <w:rFonts w:ascii="Arial" w:cs="Arial" w:eastAsia="Arial" w:hAnsi="Arial"/>
          <w:sz w:val="18"/>
          <w:szCs w:val="18"/>
          <w:b w:val="1"/>
          <w:bCs w:val="1"/>
          <w:color w:val="auto"/>
        </w:rPr>
        <w:t xml:space="preserve"> </w:t>
      </w:r>
      <w:r>
        <w:rPr>
          <w:rFonts w:ascii="Arial" w:cs="Arial" w:eastAsia="Arial" w:hAnsi="Arial"/>
          <w:sz w:val="18"/>
          <w:szCs w:val="18"/>
          <w:color w:val="auto"/>
        </w:rPr>
        <w:t>a copy of the survey floor plan(s) for your information.</w:t>
      </w:r>
    </w:p>
    <w:p>
      <w:pPr>
        <w:spacing w:after="0" w:line="46" w:lineRule="exact"/>
        <w:rPr>
          <w:sz w:val="20"/>
          <w:szCs w:val="20"/>
          <w:color w:val="auto"/>
        </w:rPr>
      </w:pPr>
    </w:p>
    <w:p>
      <w:pPr>
        <w:ind w:left="760" w:right="420" w:hanging="3"/>
        <w:spacing w:after="0" w:line="271" w:lineRule="auto"/>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Pursuant to Item 1, 3, 4 and 6 in the First Schedule of the Lease, the Rent, Service Charge and Security Deposit payable under the Lease shall be adjusted as follow effective from 23 June 2025:</w:t>
      </w:r>
    </w:p>
    <w:p>
      <w:pPr>
        <w:spacing w:after="0" w:line="329" w:lineRule="exact"/>
        <w:rPr>
          <w:sz w:val="20"/>
          <w:szCs w:val="20"/>
          <w:color w:val="auto"/>
        </w:rPr>
      </w:pPr>
    </w:p>
    <w:p>
      <w:pPr>
        <w:ind w:left="1500"/>
        <w:spacing w:after="0"/>
        <w:tabs>
          <w:tab w:leader="none" w:pos="2680" w:val="left"/>
          <w:tab w:leader="none" w:pos="3080" w:val="left"/>
        </w:tabs>
        <w:rPr>
          <w:sz w:val="20"/>
          <w:szCs w:val="20"/>
          <w:color w:val="auto"/>
        </w:rPr>
      </w:pPr>
      <w:r>
        <w:rPr>
          <w:rFonts w:ascii="Arial" w:cs="Arial" w:eastAsia="Arial" w:hAnsi="Arial"/>
          <w:sz w:val="18"/>
          <w:szCs w:val="18"/>
          <w:color w:val="auto"/>
        </w:rPr>
        <w:t>Rent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 xml:space="preserve">$67,636.20 </w:t>
      </w:r>
      <w:r>
        <w:rPr>
          <w:rFonts w:ascii="Arial" w:cs="Arial" w:eastAsia="Arial" w:hAnsi="Arial"/>
          <w:sz w:val="18"/>
          <w:szCs w:val="18"/>
          <w:color w:val="auto"/>
        </w:rPr>
        <w:t>per month calculated at the rate of $10.20 per square foot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939165</wp:posOffset>
            </wp:positionV>
            <wp:extent cx="7157720"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6" w:right="399" w:bottom="1440" w:gutter="0" w:footer="0" w:header="0"/>
        </w:sectPr>
      </w:pPr>
    </w:p>
    <w:bookmarkStart w:id="241" w:name="page242"/>
    <w:bookmarkEnd w:id="241"/>
    <w:p>
      <w:pPr>
        <w:ind w:left="1500"/>
        <w:spacing w:after="0"/>
        <w:tabs>
          <w:tab w:leader="none" w:pos="3080" w:val="left"/>
          <w:tab w:leader="none" w:pos="3480" w:val="left"/>
        </w:tabs>
        <w:rPr>
          <w:sz w:val="20"/>
          <w:szCs w:val="20"/>
          <w:color w:val="auto"/>
        </w:rPr>
      </w:pPr>
      <w:r>
        <w:rPr>
          <w:rFonts w:ascii="Arial" w:cs="Arial" w:eastAsia="Arial" w:hAnsi="Arial"/>
          <w:sz w:val="18"/>
          <w:szCs w:val="18"/>
          <w:color w:val="auto"/>
        </w:rPr>
        <w:t>Service Charge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 xml:space="preserve">$8,620.30 </w:t>
      </w:r>
      <w:r>
        <w:rPr>
          <w:rFonts w:ascii="Arial" w:cs="Arial" w:eastAsia="Arial" w:hAnsi="Arial"/>
          <w:sz w:val="18"/>
          <w:szCs w:val="18"/>
          <w:color w:val="auto"/>
        </w:rPr>
        <w:t>per month calculated at the rate of $1.30 per square foot per month.</w:t>
      </w:r>
    </w:p>
    <w:p>
      <w:pPr>
        <w:spacing w:after="0" w:line="63" w:lineRule="exact"/>
        <w:rPr>
          <w:sz w:val="20"/>
          <w:szCs w:val="20"/>
          <w:color w:val="auto"/>
        </w:rPr>
      </w:pPr>
    </w:p>
    <w:p>
      <w:pPr>
        <w:ind w:left="1500"/>
        <w:spacing w:after="0"/>
        <w:tabs>
          <w:tab w:leader="none" w:pos="3080" w:val="left"/>
          <w:tab w:leader="none" w:pos="3480" w:val="left"/>
        </w:tabs>
        <w:rPr>
          <w:sz w:val="20"/>
          <w:szCs w:val="20"/>
          <w:color w:val="auto"/>
        </w:rPr>
      </w:pPr>
      <w:r>
        <w:rPr>
          <w:rFonts w:ascii="Arial" w:cs="Arial" w:eastAsia="Arial" w:hAnsi="Arial"/>
          <w:sz w:val="18"/>
          <w:szCs w:val="18"/>
          <w:color w:val="auto"/>
        </w:rPr>
        <w:t>Security Deposit</w:t>
        <w:tab/>
        <w:t>:</w:t>
      </w:r>
      <w:r>
        <w:rPr>
          <w:sz w:val="20"/>
          <w:szCs w:val="20"/>
          <w:color w:val="auto"/>
        </w:rPr>
        <w:tab/>
      </w:r>
      <w:r>
        <w:rPr>
          <w:rFonts w:ascii="Arial" w:cs="Arial" w:eastAsia="Arial" w:hAnsi="Arial"/>
          <w:sz w:val="18"/>
          <w:szCs w:val="18"/>
          <w:b w:val="1"/>
          <w:bCs w:val="1"/>
          <w:color w:val="auto"/>
        </w:rPr>
        <w:t xml:space="preserve">$249,358.77 </w:t>
      </w:r>
      <w:r>
        <w:rPr>
          <w:rFonts w:ascii="Arial" w:cs="Arial" w:eastAsia="Arial" w:hAnsi="Arial"/>
          <w:sz w:val="18"/>
          <w:szCs w:val="18"/>
          <w:color w:val="auto"/>
        </w:rPr>
        <w:t>equivalent to three (3) months' Rent and Service Charge, including the GST</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component as if GST is payable thereon.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Please return to us by 14 May 2025, 5.00pm the duly acknowledged Supplemental Letter (duplicate copy).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Ng Lay Pheng (Ms)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General Manager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For OUB CENTRE LIMITED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 Regn No. 198002010D)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cc: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ACKNOWLEDGEMENT</w:t>
      </w:r>
    </w:p>
    <w:p>
      <w:pPr>
        <w:spacing w:after="0" w:line="30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We, TIGER BROKERS (SINGAPORE) PTE LTD (Company Registration No. 201810449W), hereby acknowledge the above letter and unconditionally accept the terms therein.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6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8180" w:type="dxa"/>
            <w:vAlign w:val="bottom"/>
          </w:tcPr>
          <w:p>
            <w:pPr>
              <w:ind w:left="1340"/>
              <w:spacing w:after="0"/>
              <w:rPr>
                <w:sz w:val="20"/>
                <w:szCs w:val="20"/>
                <w:color w:val="auto"/>
              </w:rPr>
            </w:pPr>
            <w:r>
              <w:rPr>
                <w:rFonts w:ascii="Arial" w:cs="Arial" w:eastAsia="Arial" w:hAnsi="Arial"/>
                <w:sz w:val="18"/>
                <w:szCs w:val="18"/>
                <w:color w:val="auto"/>
              </w:rPr>
              <w:t>CEO</w:t>
            </w:r>
          </w:p>
        </w:tc>
      </w:tr>
      <w:tr>
        <w:trPr>
          <w:trHeight w:val="310"/>
        </w:trPr>
        <w:tc>
          <w:tcPr>
            <w:tcW w:w="3060" w:type="dxa"/>
            <w:vAlign w:val="bottom"/>
          </w:tcPr>
          <w:p>
            <w:pPr>
              <w:spacing w:after="0"/>
              <w:rPr>
                <w:sz w:val="20"/>
                <w:szCs w:val="20"/>
                <w:color w:val="auto"/>
              </w:rPr>
            </w:pPr>
            <w:r>
              <w:rPr>
                <w:rFonts w:ascii="Arial" w:cs="Arial" w:eastAsia="Arial" w:hAnsi="Arial"/>
                <w:sz w:val="18"/>
                <w:szCs w:val="18"/>
                <w:color w:val="auto"/>
              </w:rPr>
              <w:t>Authorised Signatory</w:t>
            </w:r>
          </w:p>
        </w:tc>
        <w:tc>
          <w:tcPr>
            <w:tcW w:w="8180" w:type="dxa"/>
            <w:vAlign w:val="bottom"/>
          </w:tcPr>
          <w:p>
            <w:pPr>
              <w:ind w:left="540"/>
              <w:spacing w:after="0"/>
              <w:rPr>
                <w:sz w:val="20"/>
                <w:szCs w:val="20"/>
                <w:color w:val="auto"/>
              </w:rPr>
            </w:pPr>
            <w:r>
              <w:rPr>
                <w:rFonts w:ascii="Arial" w:cs="Arial" w:eastAsia="Arial" w:hAnsi="Arial"/>
                <w:sz w:val="18"/>
                <w:szCs w:val="18"/>
                <w:color w:val="auto"/>
              </w:rPr>
              <w:t>Designation</w:t>
            </w:r>
          </w:p>
        </w:tc>
      </w:tr>
      <w:tr>
        <w:trPr>
          <w:trHeight w:val="621"/>
        </w:trPr>
        <w:tc>
          <w:tcPr>
            <w:tcW w:w="306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8180" w:type="dxa"/>
            <w:vAlign w:val="bottom"/>
          </w:tcPr>
          <w:p>
            <w:pPr>
              <w:ind w:left="1340"/>
              <w:spacing w:after="0"/>
              <w:rPr>
                <w:sz w:val="20"/>
                <w:szCs w:val="20"/>
                <w:color w:val="auto"/>
              </w:rPr>
            </w:pPr>
            <w:r>
              <w:rPr>
                <w:rFonts w:ascii="Arial" w:cs="Arial" w:eastAsia="Arial" w:hAnsi="Arial"/>
                <w:sz w:val="18"/>
                <w:szCs w:val="18"/>
                <w:color w:val="auto"/>
              </w:rPr>
              <w:t>07/05/2025</w:t>
            </w:r>
          </w:p>
        </w:tc>
      </w:tr>
      <w:tr>
        <w:trPr>
          <w:trHeight w:val="310"/>
        </w:trPr>
        <w:tc>
          <w:tcPr>
            <w:tcW w:w="3060" w:type="dxa"/>
            <w:vAlign w:val="bottom"/>
          </w:tcPr>
          <w:p>
            <w:pPr>
              <w:spacing w:after="0"/>
              <w:rPr>
                <w:sz w:val="20"/>
                <w:szCs w:val="20"/>
                <w:color w:val="auto"/>
              </w:rPr>
            </w:pPr>
            <w:r>
              <w:rPr>
                <w:rFonts w:ascii="Arial" w:cs="Arial" w:eastAsia="Arial" w:hAnsi="Arial"/>
                <w:sz w:val="18"/>
                <w:szCs w:val="18"/>
                <w:color w:val="auto"/>
              </w:rPr>
              <w:t>Company Stamp</w:t>
            </w:r>
          </w:p>
        </w:tc>
        <w:tc>
          <w:tcPr>
            <w:tcW w:w="8180" w:type="dxa"/>
            <w:vAlign w:val="bottom"/>
          </w:tcPr>
          <w:p>
            <w:pPr>
              <w:ind w:left="540"/>
              <w:spacing w:after="0"/>
              <w:rPr>
                <w:sz w:val="20"/>
                <w:szCs w:val="20"/>
                <w:color w:val="auto"/>
              </w:rPr>
            </w:pPr>
            <w:r>
              <w:rPr>
                <w:rFonts w:ascii="Arial" w:cs="Arial" w:eastAsia="Arial" w:hAnsi="Arial"/>
                <w:sz w:val="18"/>
                <w:szCs w:val="18"/>
                <w:color w:val="auto"/>
              </w:rPr>
              <w:t>Date</w:t>
            </w:r>
          </w:p>
        </w:tc>
      </w:tr>
      <w:tr>
        <w:trPr>
          <w:trHeight w:val="1502"/>
        </w:trPr>
        <w:tc>
          <w:tcPr>
            <w:tcW w:w="3060" w:type="dxa"/>
            <w:vAlign w:val="bottom"/>
            <w:tcBorders>
              <w:bottom w:val="single" w:sz="8" w:color="9A9A9A"/>
            </w:tcBorders>
          </w:tcPr>
          <w:p>
            <w:pPr>
              <w:spacing w:after="0"/>
              <w:rPr>
                <w:sz w:val="24"/>
                <w:szCs w:val="24"/>
                <w:color w:val="auto"/>
              </w:rPr>
            </w:pPr>
          </w:p>
        </w:tc>
        <w:tc>
          <w:tcPr>
            <w:tcW w:w="8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00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2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200" w:type="dxa"/>
            <w:vAlign w:val="bottom"/>
          </w:tcPr>
          <w:p>
            <w:pPr>
              <w:spacing w:after="0"/>
              <w:rPr>
                <w:sz w:val="13"/>
                <w:szCs w:val="13"/>
                <w:color w:val="auto"/>
              </w:rPr>
            </w:pPr>
          </w:p>
        </w:tc>
        <w:tc>
          <w:tcPr>
            <w:tcW w:w="16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2000" w:type="dxa"/>
            <w:vAlign w:val="bottom"/>
            <w:vMerge w:val="restart"/>
          </w:tcPr>
          <w:p>
            <w:pPr>
              <w:jc w:val="right"/>
              <w:ind w:right="508"/>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220" w:type="dxa"/>
            <w:vAlign w:val="bottom"/>
          </w:tcPr>
          <w:p>
            <w:pPr>
              <w:spacing w:after="0"/>
              <w:rPr>
                <w:sz w:val="5"/>
                <w:szCs w:val="5"/>
                <w:color w:val="auto"/>
              </w:rPr>
            </w:pPr>
          </w:p>
        </w:tc>
        <w:tc>
          <w:tcPr>
            <w:tcW w:w="1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establishment/</w:t>
            </w:r>
          </w:p>
        </w:tc>
        <w:tc>
          <w:tcPr>
            <w:tcW w:w="2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56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legal ownership</w:t>
            </w:r>
          </w:p>
        </w:tc>
        <w:tc>
          <w:tcPr>
            <w:tcW w:w="0" w:type="dxa"/>
            <w:vAlign w:val="bottom"/>
          </w:tcPr>
          <w:p>
            <w:pPr>
              <w:spacing w:after="0"/>
              <w:rPr>
                <w:sz w:val="1"/>
                <w:szCs w:val="1"/>
                <w:color w:val="auto"/>
              </w:rPr>
            </w:pPr>
          </w:p>
        </w:tc>
      </w:tr>
      <w:tr>
        <w:trPr>
          <w:trHeight w:val="109"/>
        </w:trPr>
        <w:tc>
          <w:tcPr>
            <w:tcW w:w="5560" w:type="dxa"/>
            <w:vAlign w:val="bottom"/>
          </w:tcPr>
          <w:p>
            <w:pPr>
              <w:spacing w:after="0"/>
              <w:rPr>
                <w:sz w:val="9"/>
                <w:szCs w:val="9"/>
                <w:color w:val="auto"/>
              </w:rPr>
            </w:pPr>
          </w:p>
        </w:tc>
        <w:tc>
          <w:tcPr>
            <w:tcW w:w="200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or acquisition</w:t>
            </w:r>
          </w:p>
        </w:tc>
        <w:tc>
          <w:tcPr>
            <w:tcW w:w="220" w:type="dxa"/>
            <w:vAlign w:val="bottom"/>
          </w:tcPr>
          <w:p>
            <w:pPr>
              <w:spacing w:after="0"/>
              <w:rPr>
                <w:sz w:val="9"/>
                <w:szCs w:val="9"/>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2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560" w:type="dxa"/>
            <w:vAlign w:val="bottom"/>
          </w:tcPr>
          <w:p>
            <w:pPr>
              <w:spacing w:after="0"/>
              <w:rPr>
                <w:sz w:val="5"/>
                <w:szCs w:val="5"/>
                <w:color w:val="auto"/>
              </w:rPr>
            </w:pPr>
          </w:p>
        </w:tc>
        <w:tc>
          <w:tcPr>
            <w:tcW w:w="200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1660" w:type="dxa"/>
            <w:vAlign w:val="bottom"/>
            <w:tcBorders>
              <w:bottom w:val="single" w:sz="8" w:color="auto"/>
            </w:tcBorders>
            <w:vMerge w:val="continue"/>
          </w:tcPr>
          <w:p>
            <w:pPr>
              <w:spacing w:after="0"/>
              <w:rPr>
                <w:sz w:val="5"/>
                <w:szCs w:val="5"/>
                <w:color w:val="auto"/>
              </w:rPr>
            </w:pPr>
          </w:p>
        </w:tc>
        <w:tc>
          <w:tcPr>
            <w:tcW w:w="200" w:type="dxa"/>
            <w:vAlign w:val="bottom"/>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55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Subsidiaries:</w:t>
            </w:r>
          </w:p>
        </w:tc>
        <w:tc>
          <w:tcPr>
            <w:tcW w:w="2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Tiger Brokers (NZ) Limited (“TBNZ”)</w:t>
            </w:r>
          </w:p>
        </w:tc>
        <w:tc>
          <w:tcPr>
            <w:tcW w:w="2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August 02, 2016</w:t>
            </w: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New Zealand</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Up Fintech International Limited (“Up International”)</w:t>
            </w:r>
          </w:p>
        </w:tc>
        <w:tc>
          <w:tcPr>
            <w:tcW w:w="2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February 08, 2018</w:t>
            </w: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Tiger Brokers (Singapore) PTE Ltd. (“Tiger Brokers SG”)</w:t>
            </w:r>
          </w:p>
        </w:tc>
        <w:tc>
          <w:tcPr>
            <w:tcW w:w="2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March 27, 2018</w:t>
            </w: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Singapore</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26"/>
        </w:trPr>
        <w:tc>
          <w:tcPr>
            <w:tcW w:w="55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US Tiger Securities, Inc. (“US Tiger Securities”)</w:t>
            </w:r>
          </w:p>
        </w:tc>
        <w:tc>
          <w:tcPr>
            <w:tcW w:w="2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30, 2018</w:t>
            </w:r>
          </w:p>
        </w:tc>
        <w:tc>
          <w:tcPr>
            <w:tcW w:w="220" w:type="dxa"/>
            <w:vAlign w:val="bottom"/>
            <w:shd w:val="clear" w:color="auto" w:fill="CFF0FC"/>
          </w:tcPr>
          <w:p>
            <w:pPr>
              <w:spacing w:after="0"/>
              <w:rPr>
                <w:sz w:val="10"/>
                <w:szCs w:val="10"/>
                <w:color w:val="auto"/>
              </w:rPr>
            </w:pPr>
          </w:p>
        </w:tc>
        <w:tc>
          <w:tcPr>
            <w:tcW w:w="16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United States of</w:t>
            </w:r>
          </w:p>
        </w:tc>
        <w:tc>
          <w:tcPr>
            <w:tcW w:w="18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07"/>
        </w:trPr>
        <w:tc>
          <w:tcPr>
            <w:tcW w:w="5560" w:type="dxa"/>
            <w:vAlign w:val="bottom"/>
            <w:vMerge w:val="continue"/>
            <w:shd w:val="clear" w:color="auto" w:fill="CFF0FC"/>
          </w:tcPr>
          <w:p>
            <w:pPr>
              <w:spacing w:after="0"/>
              <w:rPr>
                <w:sz w:val="9"/>
                <w:szCs w:val="9"/>
                <w:color w:val="auto"/>
              </w:rPr>
            </w:pPr>
          </w:p>
        </w:tc>
        <w:tc>
          <w:tcPr>
            <w:tcW w:w="200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America(“USA”)</w:t>
            </w:r>
          </w:p>
        </w:tc>
        <w:tc>
          <w:tcPr>
            <w:tcW w:w="18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560" w:type="dxa"/>
            <w:vAlign w:val="bottom"/>
            <w:shd w:val="clear" w:color="auto" w:fill="CFF0FC"/>
          </w:tcPr>
          <w:p>
            <w:pPr>
              <w:spacing w:after="0"/>
              <w:rPr>
                <w:sz w:val="5"/>
                <w:szCs w:val="5"/>
                <w:color w:val="auto"/>
              </w:rPr>
            </w:pPr>
          </w:p>
        </w:tc>
        <w:tc>
          <w:tcPr>
            <w:tcW w:w="20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660" w:type="dxa"/>
            <w:vAlign w:val="bottom"/>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6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5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Beijing Bohu Xiangshang Technology Co., LTD (“Beijing BHXS”,</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May 17, 2018</w:t>
            </w:r>
          </w:p>
        </w:tc>
        <w:tc>
          <w:tcPr>
            <w:tcW w:w="220" w:type="dxa"/>
            <w:vAlign w:val="bottom"/>
          </w:tcPr>
          <w:p>
            <w:pPr>
              <w:spacing w:after="0"/>
              <w:rPr>
                <w:sz w:val="10"/>
                <w:szCs w:val="10"/>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1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07"/>
        </w:trPr>
        <w:tc>
          <w:tcPr>
            <w:tcW w:w="55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“Beijing WFOE I”)</w:t>
            </w:r>
          </w:p>
        </w:tc>
        <w:tc>
          <w:tcPr>
            <w:tcW w:w="20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56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55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Beijing Xiangshang Yixin Technology Co., Ltd (“Beijing Yixin”,</w:t>
            </w:r>
          </w:p>
        </w:tc>
        <w:tc>
          <w:tcPr>
            <w:tcW w:w="2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July 26, 2018</w:t>
            </w:r>
          </w:p>
        </w:tc>
        <w:tc>
          <w:tcPr>
            <w:tcW w:w="220" w:type="dxa"/>
            <w:vAlign w:val="bottom"/>
            <w:shd w:val="clear" w:color="auto" w:fill="CFF0FC"/>
          </w:tcPr>
          <w:p>
            <w:pPr>
              <w:spacing w:after="0"/>
              <w:rPr>
                <w:sz w:val="10"/>
                <w:szCs w:val="10"/>
                <w:color w:val="auto"/>
              </w:rPr>
            </w:pPr>
          </w:p>
        </w:tc>
        <w:tc>
          <w:tcPr>
            <w:tcW w:w="16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18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07"/>
        </w:trPr>
        <w:tc>
          <w:tcPr>
            <w:tcW w:w="556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“Beijing WFOE II”)</w:t>
            </w:r>
          </w:p>
        </w:tc>
        <w:tc>
          <w:tcPr>
            <w:tcW w:w="200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60" w:type="dxa"/>
            <w:vAlign w:val="bottom"/>
            <w:vMerge w:val="continue"/>
            <w:shd w:val="clear" w:color="auto" w:fill="CFF0FC"/>
          </w:tcPr>
          <w:p>
            <w:pPr>
              <w:spacing w:after="0"/>
              <w:rPr>
                <w:sz w:val="9"/>
                <w:szCs w:val="9"/>
                <w:color w:val="auto"/>
              </w:rPr>
            </w:pPr>
          </w:p>
        </w:tc>
        <w:tc>
          <w:tcPr>
            <w:tcW w:w="18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560" w:type="dxa"/>
            <w:vAlign w:val="bottom"/>
            <w:vMerge w:val="continue"/>
            <w:shd w:val="clear" w:color="auto" w:fill="CFF0FC"/>
          </w:tcPr>
          <w:p>
            <w:pPr>
              <w:spacing w:after="0"/>
              <w:rPr>
                <w:sz w:val="5"/>
                <w:szCs w:val="5"/>
                <w:color w:val="auto"/>
              </w:rPr>
            </w:pPr>
          </w:p>
        </w:tc>
        <w:tc>
          <w:tcPr>
            <w:tcW w:w="20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66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6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Trading Front Inc (“Trading Front”)</w:t>
            </w:r>
          </w:p>
        </w:tc>
        <w:tc>
          <w:tcPr>
            <w:tcW w:w="2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August 01, 2018</w:t>
            </w: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USA</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Wealthn LLC (“Wealthn”)</w:t>
            </w:r>
          </w:p>
        </w:tc>
        <w:tc>
          <w:tcPr>
            <w:tcW w:w="2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August 01, 2018</w:t>
            </w: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USA</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9"/>
        </w:trPr>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Kastle Limited (“Kastle”)</w:t>
            </w:r>
          </w:p>
        </w:tc>
        <w:tc>
          <w:tcPr>
            <w:tcW w:w="2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October 15, 2018</w:t>
            </w: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TradeUP Securities Inc (US) (“TradeUP Securities”)</w:t>
            </w:r>
          </w:p>
        </w:tc>
        <w:tc>
          <w:tcPr>
            <w:tcW w:w="2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July 12, 2019</w:t>
            </w: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USA</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22"/>
        </w:trPr>
        <w:tc>
          <w:tcPr>
            <w:tcW w:w="55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Tradeup Inc. (“Tradeup”)</w:t>
            </w:r>
          </w:p>
        </w:tc>
        <w:tc>
          <w:tcPr>
            <w:tcW w:w="20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October 10, 2019</w:t>
            </w:r>
          </w:p>
        </w:tc>
        <w:tc>
          <w:tcPr>
            <w:tcW w:w="220" w:type="dxa"/>
            <w:vAlign w:val="bottom"/>
          </w:tcPr>
          <w:p>
            <w:pPr>
              <w:spacing w:after="0"/>
              <w:rPr>
                <w:sz w:val="10"/>
                <w:szCs w:val="10"/>
                <w:color w:val="auto"/>
              </w:rPr>
            </w:pPr>
          </w:p>
        </w:tc>
        <w:tc>
          <w:tcPr>
            <w:tcW w:w="166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w w:val="99"/>
              </w:rPr>
              <w:t>USA</w:t>
            </w:r>
          </w:p>
        </w:tc>
        <w:tc>
          <w:tcPr>
            <w:tcW w:w="1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53"/>
        </w:trPr>
        <w:tc>
          <w:tcPr>
            <w:tcW w:w="55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Hangzhou U-Tiger Technology Co. LTD (“Hangzhou U-Tiger”)</w:t>
            </w:r>
          </w:p>
        </w:tc>
        <w:tc>
          <w:tcPr>
            <w:tcW w:w="20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April 09, 2020</w:t>
            </w:r>
          </w:p>
        </w:tc>
        <w:tc>
          <w:tcPr>
            <w:tcW w:w="220" w:type="dxa"/>
            <w:vAlign w:val="bottom"/>
          </w:tcPr>
          <w:p>
            <w:pPr>
              <w:spacing w:after="0"/>
              <w:rPr>
                <w:sz w:val="13"/>
                <w:szCs w:val="13"/>
                <w:color w:val="auto"/>
              </w:rPr>
            </w:pPr>
          </w:p>
        </w:tc>
        <w:tc>
          <w:tcPr>
            <w:tcW w:w="16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PRC</w:t>
            </w:r>
          </w:p>
        </w:tc>
        <w:tc>
          <w:tcPr>
            <w:tcW w:w="180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17"/>
                <w:szCs w:val="17"/>
                <w:color w:val="auto"/>
                <w:vertAlign w:val="superscript"/>
              </w:rPr>
              <w:t>1</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Tiger Fintech (NZ) Limited (“TFNZ”)</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17, 2021</w:t>
            </w:r>
          </w:p>
        </w:tc>
        <w:tc>
          <w:tcPr>
            <w:tcW w:w="2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Zealand</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9"/>
        </w:trPr>
        <w:tc>
          <w:tcPr>
            <w:tcW w:w="5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Tiger Services (AU) Pty Ltd (“Tiger Services AU”)</w:t>
            </w:r>
          </w:p>
        </w:tc>
        <w:tc>
          <w:tcPr>
            <w:tcW w:w="2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August 27, 2021</w:t>
            </w: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Australia</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Tiger Brokers (AU) PTY Limited (“TBAU”)</w:t>
            </w:r>
          </w:p>
        </w:tc>
        <w:tc>
          <w:tcPr>
            <w:tcW w:w="2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September 13, 2021</w:t>
            </w: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Australia</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Tiger Brokers (HK) Global Limited (“Tiger Brokers HK”)</w:t>
            </w:r>
          </w:p>
        </w:tc>
        <w:tc>
          <w:tcPr>
            <w:tcW w:w="2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October 26, 2021</w:t>
            </w: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Tiger Fund Management PTE.LTD (“Tiger Fund Management”)</w:t>
            </w:r>
          </w:p>
        </w:tc>
        <w:tc>
          <w:tcPr>
            <w:tcW w:w="2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July 08, 2022</w:t>
            </w: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Singapore</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VIEs:</w:t>
            </w:r>
          </w:p>
        </w:tc>
        <w:tc>
          <w:tcPr>
            <w:tcW w:w="2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Beijing Xiangshang Rongke Technology Co. LTD (“Beijing Rongke”,</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June 11, 2014</w:t>
            </w:r>
          </w:p>
        </w:tc>
        <w:tc>
          <w:tcPr>
            <w:tcW w:w="220" w:type="dxa"/>
            <w:vAlign w:val="bottom"/>
          </w:tcPr>
          <w:p>
            <w:pPr>
              <w:spacing w:after="0"/>
              <w:rPr>
                <w:sz w:val="10"/>
                <w:szCs w:val="10"/>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200" w:type="dxa"/>
            <w:vAlign w:val="bottom"/>
          </w:tcPr>
          <w:p>
            <w:pPr>
              <w:spacing w:after="0"/>
              <w:rPr>
                <w:sz w:val="10"/>
                <w:szCs w:val="10"/>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Consolidated VIE</w:t>
            </w:r>
          </w:p>
        </w:tc>
        <w:tc>
          <w:tcPr>
            <w:tcW w:w="0" w:type="dxa"/>
            <w:vAlign w:val="bottom"/>
          </w:tcPr>
          <w:p>
            <w:pPr>
              <w:spacing w:after="0"/>
              <w:rPr>
                <w:sz w:val="1"/>
                <w:szCs w:val="1"/>
                <w:color w:val="auto"/>
              </w:rPr>
            </w:pPr>
          </w:p>
        </w:tc>
      </w:tr>
      <w:tr>
        <w:trPr>
          <w:trHeight w:val="107"/>
        </w:trPr>
        <w:tc>
          <w:tcPr>
            <w:tcW w:w="55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“Ningxia VIE”)</w:t>
            </w:r>
          </w:p>
        </w:tc>
        <w:tc>
          <w:tcPr>
            <w:tcW w:w="20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56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55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Beijing Xiangshang Yiyi Laohu Technology Group Co., LTD (“Beijing Yiyi”,</w:t>
            </w:r>
          </w:p>
        </w:tc>
        <w:tc>
          <w:tcPr>
            <w:tcW w:w="2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October 29, 2018</w:t>
            </w:r>
          </w:p>
        </w:tc>
        <w:tc>
          <w:tcPr>
            <w:tcW w:w="220" w:type="dxa"/>
            <w:vAlign w:val="bottom"/>
            <w:shd w:val="clear" w:color="auto" w:fill="CFF0FC"/>
          </w:tcPr>
          <w:p>
            <w:pPr>
              <w:spacing w:after="0"/>
              <w:rPr>
                <w:sz w:val="10"/>
                <w:szCs w:val="10"/>
                <w:color w:val="auto"/>
              </w:rPr>
            </w:pPr>
          </w:p>
        </w:tc>
        <w:tc>
          <w:tcPr>
            <w:tcW w:w="16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200" w:type="dxa"/>
            <w:vAlign w:val="bottom"/>
            <w:shd w:val="clear" w:color="auto" w:fill="CFF0FC"/>
          </w:tcPr>
          <w:p>
            <w:pPr>
              <w:spacing w:after="0"/>
              <w:rPr>
                <w:sz w:val="10"/>
                <w:szCs w:val="10"/>
                <w:color w:val="auto"/>
              </w:rPr>
            </w:pPr>
          </w:p>
        </w:tc>
        <w:tc>
          <w:tcPr>
            <w:tcW w:w="1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Consolidated VIE</w:t>
            </w:r>
          </w:p>
        </w:tc>
        <w:tc>
          <w:tcPr>
            <w:tcW w:w="0" w:type="dxa"/>
            <w:vAlign w:val="bottom"/>
          </w:tcPr>
          <w:p>
            <w:pPr>
              <w:spacing w:after="0"/>
              <w:rPr>
                <w:sz w:val="1"/>
                <w:szCs w:val="1"/>
                <w:color w:val="auto"/>
              </w:rPr>
            </w:pPr>
          </w:p>
        </w:tc>
      </w:tr>
      <w:tr>
        <w:trPr>
          <w:trHeight w:val="107"/>
        </w:trPr>
        <w:tc>
          <w:tcPr>
            <w:tcW w:w="556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“Beijing VIE”)</w:t>
            </w:r>
          </w:p>
        </w:tc>
        <w:tc>
          <w:tcPr>
            <w:tcW w:w="200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6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560" w:type="dxa"/>
            <w:vAlign w:val="bottom"/>
            <w:vMerge w:val="continue"/>
            <w:shd w:val="clear" w:color="auto" w:fill="CFF0FC"/>
          </w:tcPr>
          <w:p>
            <w:pPr>
              <w:spacing w:after="0"/>
              <w:rPr>
                <w:sz w:val="5"/>
                <w:szCs w:val="5"/>
                <w:color w:val="auto"/>
              </w:rPr>
            </w:pPr>
          </w:p>
        </w:tc>
        <w:tc>
          <w:tcPr>
            <w:tcW w:w="20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66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6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VIEs’ subsidiaries:</w:t>
            </w: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Beijing U-Tiger Network Technology Co., LTD (“Beijing U-Tiger Network”)</w:t>
            </w:r>
          </w:p>
        </w:tc>
        <w:tc>
          <w:tcPr>
            <w:tcW w:w="2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April 20, 2016</w:t>
            </w: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20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49"/>
        </w:trPr>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Beijing U-Tiger Business Service Co., Ltd (“Beijing U-Tiger Business”)</w:t>
            </w:r>
          </w:p>
        </w:tc>
        <w:tc>
          <w:tcPr>
            <w:tcW w:w="2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April 21, 2016</w:t>
            </w: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20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49"/>
        </w:trPr>
        <w:tc>
          <w:tcPr>
            <w:tcW w:w="5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Beijing Zhijianfengyi Information Technology Co., Ltd (“Beijing ZJFY”)</w:t>
            </w:r>
          </w:p>
        </w:tc>
        <w:tc>
          <w:tcPr>
            <w:tcW w:w="2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January 25, 2018</w:t>
            </w: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20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48"/>
        </w:trPr>
        <w:tc>
          <w:tcPr>
            <w:tcW w:w="5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Beijing Yixin Xiangshang Technology Co.,LTD (“Beijing Xiangshang”)</w:t>
            </w:r>
          </w:p>
        </w:tc>
        <w:tc>
          <w:tcPr>
            <w:tcW w:w="2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September 05, 2018</w:t>
            </w: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20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Guangzhou U-Tiger Technology Co., LTD (“Guangzhou U-Tiger”)</w:t>
            </w:r>
          </w:p>
        </w:tc>
        <w:tc>
          <w:tcPr>
            <w:tcW w:w="2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December 24, 2018</w:t>
            </w: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20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-1602105</wp:posOffset>
            </wp:positionV>
            <wp:extent cx="7132320" cy="9398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44">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0" w:lineRule="exact"/>
        <w:rPr>
          <w:sz w:val="20"/>
          <w:szCs w:val="20"/>
          <w:color w:val="auto"/>
        </w:rPr>
      </w:pPr>
    </w:p>
    <w:p>
      <w:pPr>
        <w:ind w:right="360" w:firstLine="8"/>
        <w:spacing w:after="0" w:line="212" w:lineRule="auto"/>
        <w:tabs>
          <w:tab w:leader="none" w:pos="84" w:val="left"/>
        </w:tabs>
        <w:numPr>
          <w:ilvl w:val="0"/>
          <w:numId w:val="15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Up Fintech International Limited owns 85% percentage of the shares of Hangzhou U-Tiger, and the holder of the remaining 15% has pledged its voting interest to Up Fintech International Limited, which as a result controls 100% of the voting power of this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Tianhua Wu, certify that:</w:t>
      </w:r>
    </w:p>
    <w:p>
      <w:pPr>
        <w:spacing w:after="0" w:line="225" w:lineRule="exact"/>
        <w:rPr>
          <w:sz w:val="20"/>
          <w:szCs w:val="20"/>
          <w:color w:val="auto"/>
        </w:rPr>
      </w:pPr>
    </w:p>
    <w:p>
      <w:pPr>
        <w:ind w:left="1140" w:hanging="758"/>
        <w:spacing w:after="0"/>
        <w:tabs>
          <w:tab w:leader="none" w:pos="11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UP FINTECH HOLDING LIMITED;</w:t>
      </w:r>
    </w:p>
    <w:p>
      <w:pPr>
        <w:spacing w:after="0" w:line="225" w:lineRule="exact"/>
        <w:rPr>
          <w:rFonts w:ascii="Times New Roman" w:cs="Times New Roman" w:eastAsia="Times New Roman" w:hAnsi="Times New Roman"/>
          <w:sz w:val="18"/>
          <w:szCs w:val="18"/>
          <w:color w:val="auto"/>
        </w:rPr>
      </w:pPr>
    </w:p>
    <w:p>
      <w:pPr>
        <w:jc w:val="both"/>
        <w:ind w:left="1140" w:hanging="758"/>
        <w:spacing w:after="0" w:line="266" w:lineRule="auto"/>
        <w:tabs>
          <w:tab w:leader="none" w:pos="11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140" w:hanging="758"/>
        <w:spacing w:after="0" w:line="282" w:lineRule="auto"/>
        <w:tabs>
          <w:tab w:leader="none" w:pos="11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1140" w:hanging="758"/>
        <w:spacing w:after="0" w:line="261" w:lineRule="auto"/>
        <w:tabs>
          <w:tab w:leader="none" w:pos="11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company and have:</w:t>
      </w:r>
    </w:p>
    <w:p>
      <w:pPr>
        <w:spacing w:after="0" w:line="206"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1140" w:hanging="758"/>
        <w:spacing w:after="0" w:line="266" w:lineRule="auto"/>
        <w:tabs>
          <w:tab w:leader="none" w:pos="11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02" w:lineRule="exact"/>
        <w:rPr>
          <w:rFonts w:ascii="Times New Roman" w:cs="Times New Roman" w:eastAsia="Times New Roman" w:hAnsi="Times New Roman"/>
          <w:sz w:val="18"/>
          <w:szCs w:val="18"/>
          <w:color w:val="auto"/>
        </w:rPr>
      </w:pPr>
    </w:p>
    <w:p>
      <w:pPr>
        <w:ind w:left="1500" w:hanging="369"/>
        <w:spacing w:after="0" w:line="234" w:lineRule="auto"/>
        <w:tabs>
          <w:tab w:leader="none" w:pos="150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26" w:lineRule="exact"/>
        <w:rPr>
          <w:rFonts w:ascii="Times New Roman" w:cs="Times New Roman" w:eastAsia="Times New Roman" w:hAnsi="Times New Roman"/>
          <w:sz w:val="22"/>
          <w:szCs w:val="22"/>
          <w:color w:val="auto"/>
        </w:rPr>
      </w:pPr>
    </w:p>
    <w:p>
      <w:pPr>
        <w:ind w:left="1500" w:hanging="369"/>
        <w:spacing w:after="0" w:line="234" w:lineRule="auto"/>
        <w:tabs>
          <w:tab w:leader="none" w:pos="150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ind w:left="5960"/>
              <w:spacing w:after="0"/>
              <w:rPr>
                <w:sz w:val="20"/>
                <w:szCs w:val="20"/>
                <w:color w:val="auto"/>
              </w:rPr>
            </w:pPr>
            <w:r>
              <w:rPr>
                <w:rFonts w:ascii="Times New Roman" w:cs="Times New Roman" w:eastAsia="Times New Roman" w:hAnsi="Times New Roman"/>
                <w:sz w:val="18"/>
                <w:szCs w:val="18"/>
                <w:color w:val="auto"/>
              </w:rPr>
              <w:t>By:</w:t>
            </w: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Tianhua Wu</w:t>
            </w:r>
          </w:p>
        </w:tc>
        <w:tc>
          <w:tcPr>
            <w:tcW w:w="3500" w:type="dxa"/>
            <w:vAlign w:val="bottom"/>
            <w:tcBorders>
              <w:bottom w:val="single" w:sz="8" w:color="auto"/>
            </w:tcBorders>
          </w:tcPr>
          <w:p>
            <w:pPr>
              <w:spacing w:after="0"/>
              <w:rPr>
                <w:sz w:val="20"/>
                <w:szCs w:val="20"/>
                <w:color w:val="auto"/>
              </w:rPr>
            </w:pPr>
          </w:p>
        </w:tc>
      </w:tr>
      <w:tr>
        <w:trPr>
          <w:trHeight w:val="191"/>
        </w:trPr>
        <w:tc>
          <w:tcPr>
            <w:tcW w:w="6620" w:type="dxa"/>
            <w:vAlign w:val="bottom"/>
          </w:tcPr>
          <w:p>
            <w:pPr>
              <w:spacing w:after="0"/>
              <w:rPr>
                <w:sz w:val="16"/>
                <w:szCs w:val="16"/>
                <w:color w:val="auto"/>
              </w:rPr>
            </w:pPr>
          </w:p>
        </w:tc>
        <w:tc>
          <w:tcPr>
            <w:tcW w:w="1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Tianhua Wu</w:t>
            </w:r>
          </w:p>
        </w:tc>
      </w:tr>
      <w:tr>
        <w:trPr>
          <w:trHeight w:val="234"/>
        </w:trPr>
        <w:tc>
          <w:tcPr>
            <w:tcW w:w="66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222"/>
        </w:trPr>
        <w:tc>
          <w:tcPr>
            <w:tcW w:w="66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Fei Zeng, certify that:</w:t>
      </w:r>
    </w:p>
    <w:p>
      <w:pPr>
        <w:spacing w:after="0" w:line="225" w:lineRule="exact"/>
        <w:rPr>
          <w:sz w:val="20"/>
          <w:szCs w:val="20"/>
          <w:color w:val="auto"/>
        </w:rPr>
      </w:pPr>
    </w:p>
    <w:p>
      <w:pPr>
        <w:ind w:left="1140" w:hanging="758"/>
        <w:spacing w:after="0"/>
        <w:tabs>
          <w:tab w:leader="none" w:pos="114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I have reviewed this annual report on Form 20-F of UP FINTECH HOLDING LIMITED;</w:t>
      </w:r>
    </w:p>
    <w:p>
      <w:pPr>
        <w:spacing w:after="0" w:line="213" w:lineRule="exact"/>
        <w:rPr>
          <w:rFonts w:ascii="Times New Roman" w:cs="Times New Roman" w:eastAsia="Times New Roman" w:hAnsi="Times New Roman"/>
          <w:sz w:val="19"/>
          <w:szCs w:val="19"/>
          <w:color w:val="auto"/>
        </w:rPr>
      </w:pPr>
    </w:p>
    <w:p>
      <w:pPr>
        <w:jc w:val="both"/>
        <w:ind w:left="1140" w:hanging="758"/>
        <w:spacing w:after="0" w:line="259" w:lineRule="auto"/>
        <w:tabs>
          <w:tab w:leader="none" w:pos="114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19"/>
          <w:szCs w:val="19"/>
          <w:color w:val="auto"/>
        </w:rPr>
      </w:pPr>
    </w:p>
    <w:p>
      <w:pPr>
        <w:ind w:left="1140" w:hanging="758"/>
        <w:spacing w:after="0" w:line="268" w:lineRule="auto"/>
        <w:tabs>
          <w:tab w:leader="none" w:pos="114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2" w:lineRule="exact"/>
        <w:rPr>
          <w:rFonts w:ascii="Times New Roman" w:cs="Times New Roman" w:eastAsia="Times New Roman" w:hAnsi="Times New Roman"/>
          <w:sz w:val="19"/>
          <w:szCs w:val="19"/>
          <w:color w:val="auto"/>
        </w:rPr>
      </w:pPr>
    </w:p>
    <w:p>
      <w:pPr>
        <w:jc w:val="both"/>
        <w:ind w:left="1140" w:hanging="758"/>
        <w:spacing w:after="0" w:line="254" w:lineRule="auto"/>
        <w:tabs>
          <w:tab w:leader="none" w:pos="114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13a-15(f) and 15d-15(f)) for the company and have:</w:t>
      </w:r>
    </w:p>
    <w:p>
      <w:pPr>
        <w:spacing w:after="0" w:line="206" w:lineRule="exact"/>
        <w:rPr>
          <w:rFonts w:ascii="Times New Roman" w:cs="Times New Roman" w:eastAsia="Times New Roman" w:hAnsi="Times New Roman"/>
          <w:sz w:val="19"/>
          <w:szCs w:val="19"/>
          <w:color w:val="auto"/>
        </w:rPr>
      </w:pPr>
    </w:p>
    <w:p>
      <w:pPr>
        <w:jc w:val="both"/>
        <w:ind w:left="1500" w:hanging="369"/>
        <w:spacing w:after="0" w:line="266" w:lineRule="auto"/>
        <w:tabs>
          <w:tab w:leader="none" w:pos="150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1140" w:hanging="758"/>
        <w:spacing w:after="0" w:line="259" w:lineRule="auto"/>
        <w:tabs>
          <w:tab w:leader="none" w:pos="114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1" w:lineRule="exact"/>
        <w:rPr>
          <w:rFonts w:ascii="Times New Roman" w:cs="Times New Roman" w:eastAsia="Times New Roman" w:hAnsi="Times New Roman"/>
          <w:sz w:val="19"/>
          <w:szCs w:val="19"/>
          <w:color w:val="auto"/>
        </w:rPr>
      </w:pPr>
    </w:p>
    <w:p>
      <w:pPr>
        <w:ind w:left="1500" w:hanging="369"/>
        <w:spacing w:after="0" w:line="282" w:lineRule="auto"/>
        <w:tabs>
          <w:tab w:leader="none" w:pos="150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ind w:left="596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Fei Zeng</w:t>
            </w:r>
          </w:p>
        </w:tc>
      </w:tr>
      <w:tr>
        <w:trPr>
          <w:trHeight w:val="191"/>
        </w:trPr>
        <w:tc>
          <w:tcPr>
            <w:tcW w:w="664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John Fei Zeng</w:t>
            </w:r>
          </w:p>
        </w:tc>
      </w:tr>
      <w:tr>
        <w:trPr>
          <w:trHeight w:val="234"/>
        </w:trPr>
        <w:tc>
          <w:tcPr>
            <w:tcW w:w="664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66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UP FINTECH HOLDING LIMITED (the “Company”) on Form 20-F for the year ended December 31, 2025 as filed with the Securities and Exchange Commission on the date hereof (the “Report”), I, Tianhua Wu,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760" w:hanging="378"/>
        <w:spacing w:after="0"/>
        <w:tabs>
          <w:tab w:leader="none" w:pos="7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382"/>
        <w:spacing w:after="0" w:line="500" w:lineRule="auto"/>
        <w:tabs>
          <w:tab w:leader="none" w:pos="74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24, 2026</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ind w:left="596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Tianhua Wu</w:t>
            </w:r>
          </w:p>
        </w:tc>
      </w:tr>
      <w:tr>
        <w:trPr>
          <w:trHeight w:val="191"/>
        </w:trPr>
        <w:tc>
          <w:tcPr>
            <w:tcW w:w="664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Tianhua Wu</w:t>
            </w:r>
          </w:p>
        </w:tc>
      </w:tr>
      <w:tr>
        <w:trPr>
          <w:trHeight w:val="234"/>
        </w:trPr>
        <w:tc>
          <w:tcPr>
            <w:tcW w:w="664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627"/>
        </w:trPr>
        <w:tc>
          <w:tcPr>
            <w:tcW w:w="66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UP FINTECH HOLDING LIMITED (the “Company”) on Form 20-F for the year ended December 31, 2025 as filed with the Securities and Exchange Commission on the date hereof (the “Report”), I, John Fei Zeng,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760" w:hanging="378"/>
        <w:spacing w:after="0"/>
        <w:tabs>
          <w:tab w:leader="none" w:pos="7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382"/>
        <w:spacing w:after="0" w:line="500" w:lineRule="auto"/>
        <w:tabs>
          <w:tab w:leader="none" w:pos="74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24, 2026</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Fei Zeng</w:t>
            </w:r>
          </w:p>
        </w:tc>
      </w:tr>
      <w:tr>
        <w:trPr>
          <w:trHeight w:val="191"/>
        </w:trPr>
        <w:tc>
          <w:tcPr>
            <w:tcW w:w="6660" w:type="dxa"/>
            <w:vAlign w:val="bottom"/>
          </w:tcPr>
          <w:p>
            <w:pPr>
              <w:spacing w:after="0"/>
              <w:rPr>
                <w:sz w:val="16"/>
                <w:szCs w:val="16"/>
                <w:color w:val="auto"/>
              </w:rPr>
            </w:pPr>
          </w:p>
        </w:tc>
        <w:tc>
          <w:tcPr>
            <w:tcW w:w="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color w:val="auto"/>
              </w:rPr>
              <w:t>John Fei Zeng</w:t>
            </w:r>
          </w:p>
        </w:tc>
      </w:tr>
      <w:tr>
        <w:trPr>
          <w:trHeight w:val="234"/>
        </w:trPr>
        <w:tc>
          <w:tcPr>
            <w:tcW w:w="666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66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(Nos. 333-276228, 333-259241 and 333-231894) and on Form F-3 (No. 333-282761) of our report dated April 24, 2026, with respect to the consolidated financial statements of UP Fintech Holding Limited and the effectiveness of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JUNHE LLP</w:t>
      </w:r>
    </w:p>
    <w:p>
      <w:pPr>
        <w:spacing w:after="0" w:line="200" w:lineRule="exact"/>
        <w:rPr>
          <w:sz w:val="20"/>
          <w:szCs w:val="20"/>
          <w:color w:val="auto"/>
        </w:rPr>
      </w:pPr>
    </w:p>
    <w:p>
      <w:pPr>
        <w:spacing w:after="0" w:line="23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7"/>
          <w:szCs w:val="17"/>
          <w:b w:val="1"/>
          <w:bCs w:val="1"/>
          <w:color w:val="auto"/>
        </w:rPr>
        <w:t>UP Fintech Holding Limited</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24,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 or Madams: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references to our firm and the summaries of our opinions under “Item 3. Key Information – Description of Certain PRC Regulations Affecting Our Business” and “Item 3. Key Information – Certain Risks Related to Our Chinese Operations and Operating Structure” included in UP Fintech Holding Ltd.’s annual report on Form 20-F for the year ended December 31, 2025 (the “Annual Report”), which is filed with the Securities and Exchange Commission (the “SEC”) on April 24, 2026. We also consent to the filing with the SEC of this consent letter as an exhibit to the Annual Report.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giving such consent, we do not thereby admit that we are in the category of persons whose consent is required under Section 7 of the Securities Act of 1933, or under the Securities Exchange Act of 1934, in each case, as amended, or the regulations promulgated thereunder.</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JunHe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9" w:name="page250"/>
    <w:bookmarkEnd w:id="2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
      <w:numFmt w:val="bullet"/>
      <w:start w:val="1"/>
    </w:lvl>
  </w:abstractNum>
  <w:abstractNum w:abstractNumId="5">
    <w:nsid w:val="71EA1109"/>
    <w:multiLevelType w:val="hybridMultilevel"/>
    <w:lvl w:ilvl="0">
      <w:lvlJc w:val="left"/>
      <w:lvlText w:val="(%1)"/>
      <w:numFmt w:val="lowerRoman"/>
      <w:start w:val="2"/>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1)"/>
      <w:numFmt w:val="lowerRoman"/>
      <w:start w:val="4"/>
    </w:lvl>
  </w:abstractNum>
  <w:abstractNum w:abstractNumId="8">
    <w:nsid w:val="6EB5BD4"/>
    <w:multiLevelType w:val="hybridMultilevel"/>
    <w:lvl w:ilvl="0">
      <w:lvlJc w:val="left"/>
      <w:lvlText w:val="(%1)"/>
      <w:numFmt w:val="decimal"/>
      <w:start w:val="5"/>
    </w:lvl>
  </w:abstractNum>
  <w:abstractNum w:abstractNumId="9">
    <w:nsid w:val="6F6DD9AC"/>
    <w:multiLevelType w:val="hybridMultilevel"/>
    <w:lvl w:ilvl="0">
      <w:lvlJc w:val="left"/>
      <w:lvlText w:val="•"/>
      <w:numFmt w:val="bullet"/>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1)"/>
      <w:numFmt w:val="decimal"/>
      <w:start w:val="1"/>
    </w:lvl>
  </w:abstractNum>
  <w:abstractNum w:abstractNumId="13">
    <w:nsid w:val="4C04A8AF"/>
    <w:multiLevelType w:val="hybridMultilevel"/>
    <w:lvl w:ilvl="0">
      <w:lvlJc w:val="left"/>
      <w:lvlText w:val="(%1)"/>
      <w:numFmt w:val="decimal"/>
      <w:start w:val="1"/>
    </w:lvl>
  </w:abstractNum>
  <w:abstractNum w:abstractNumId="14">
    <w:nsid w:val="1716703B"/>
    <w:multiLevelType w:val="hybridMultilevel"/>
    <w:lvl w:ilvl="0">
      <w:lvlJc w:val="left"/>
      <w:lvlText w:val="(%1)"/>
      <w:numFmt w:val="decimal"/>
      <w:start w:val="1"/>
    </w:lvl>
  </w:abstractNum>
  <w:abstractNum w:abstractNumId="15">
    <w:nsid w:val="14E17E33"/>
    <w:multiLevelType w:val="hybridMultilevel"/>
    <w:lvl w:ilvl="0">
      <w:lvlJc w:val="left"/>
      <w:lvlText w:val="%1."/>
      <w:numFmt w:val="upperLetter"/>
      <w:start w:val="1"/>
    </w:lvl>
  </w:abstractNum>
  <w:abstractNum w:abstractNumId="16">
    <w:nsid w:val="3222E7CD"/>
    <w:multiLevelType w:val="hybridMultilevel"/>
    <w:lvl w:ilvl="0">
      <w:lvlJc w:val="left"/>
      <w:lvlText w:val="%1."/>
      <w:numFmt w:val="decimal"/>
      <w:start w:val="3"/>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
      <w:numFmt w:val="bullet"/>
      <w:start w:val="1"/>
    </w:lvl>
  </w:abstractNum>
  <w:abstractNum w:abstractNumId="20">
    <w:nsid w:val="46B7D447"/>
    <w:multiLevelType w:val="hybridMultilevel"/>
    <w:lvl w:ilvl="0">
      <w:lvlJc w:val="left"/>
      <w:lvlText w:val="•"/>
      <w:numFmt w:val="bullet"/>
      <w:start w:val="1"/>
    </w:lvl>
  </w:abstractNum>
  <w:abstractNum w:abstractNumId="21">
    <w:nsid w:val="4A2AC315"/>
    <w:multiLevelType w:val="hybridMultilevel"/>
    <w:lvl w:ilvl="0">
      <w:lvlJc w:val="left"/>
      <w:lvlText w:val="•"/>
      <w:numFmt w:val="bullet"/>
      <w:start w:val="1"/>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
      <w:numFmt w:val="bullet"/>
      <w:start w:val="1"/>
    </w:lvl>
  </w:abstractNum>
  <w:abstractNum w:abstractNumId="25">
    <w:nsid w:val="43F18422"/>
    <w:multiLevelType w:val="hybridMultilevel"/>
    <w:lvl w:ilvl="0">
      <w:lvlJc w:val="left"/>
      <w:lvlText w:val="•"/>
      <w:numFmt w:val="bullet"/>
      <w:start w:val="1"/>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1)"/>
      <w:numFmt w:val="decimal"/>
      <w:start w:val="1"/>
    </w:lvl>
  </w:abstractNum>
  <w:abstractNum w:abstractNumId="28">
    <w:nsid w:val="7F01579B"/>
    <w:multiLevelType w:val="hybridMultilevel"/>
    <w:lvl w:ilvl="0">
      <w:lvlJc w:val="left"/>
      <w:lvlText w:val="•"/>
      <w:numFmt w:val="bullet"/>
      <w:start w:val="1"/>
    </w:lvl>
  </w:abstractNum>
  <w:abstractNum w:abstractNumId="29">
    <w:nsid w:val="49DA307D"/>
    <w:multiLevelType w:val="hybridMultilevel"/>
    <w:lvl w:ilvl="0">
      <w:lvlJc w:val="left"/>
      <w:lvlText w:val="•"/>
      <w:numFmt w:val="bullet"/>
      <w:start w:val="1"/>
    </w:lvl>
  </w:abstractNum>
  <w:abstractNum w:abstractNumId="30">
    <w:nsid w:val="7055A5F5"/>
    <w:multiLevelType w:val="hybridMultilevel"/>
    <w:lvl w:ilvl="0">
      <w:lvlJc w:val="left"/>
      <w:lvlText w:val="•"/>
      <w:numFmt w:val="bullet"/>
      <w:start w:val="1"/>
    </w:lvl>
  </w:abstractNum>
  <w:abstractNum w:abstractNumId="31">
    <w:nsid w:val="5FB8370B"/>
    <w:multiLevelType w:val="hybridMultilevel"/>
    <w:lvl w:ilvl="0">
      <w:lvlJc w:val="left"/>
      <w:lvlText w:val="•"/>
      <w:numFmt w:val="bullet"/>
      <w:start w:val="1"/>
    </w:lvl>
  </w:abstractNum>
  <w:abstractNum w:abstractNumId="32">
    <w:nsid w:val="50801EE1"/>
    <w:multiLevelType w:val="hybridMultilevel"/>
    <w:lvl w:ilvl="0">
      <w:lvlJc w:val="left"/>
      <w:lvlText w:val="•"/>
      <w:numFmt w:val="bullet"/>
      <w:start w:val="1"/>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
      <w:numFmt w:val="bullet"/>
      <w:start w:val="1"/>
    </w:lvl>
  </w:abstractNum>
  <w:abstractNum w:abstractNumId="35">
    <w:nsid w:val="6AA78F7F"/>
    <w:multiLevelType w:val="hybridMultilevel"/>
    <w:lvl w:ilvl="0">
      <w:lvlJc w:val="left"/>
      <w:lvlText w:val="•"/>
      <w:numFmt w:val="bullet"/>
      <w:start w:val="1"/>
    </w:lvl>
  </w:abstractNum>
  <w:abstractNum w:abstractNumId="36">
    <w:nsid w:val="7672BD23"/>
    <w:multiLevelType w:val="hybridMultilevel"/>
    <w:lvl w:ilvl="0">
      <w:lvlJc w:val="left"/>
      <w:lvlText w:val="•"/>
      <w:numFmt w:val="bullet"/>
      <w:start w:val="1"/>
    </w:lvl>
  </w:abstractNum>
  <w:abstractNum w:abstractNumId="37">
    <w:nsid w:val="6FC75AF8"/>
    <w:multiLevelType w:val="hybridMultilevel"/>
    <w:lvl w:ilvl="0">
      <w:lvlJc w:val="left"/>
      <w:lvlText w:val="•"/>
      <w:numFmt w:val="bullet"/>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1)"/>
      <w:numFmt w:val="lowerLetter"/>
      <w:start w:val="1"/>
    </w:lvl>
  </w:abstractNum>
  <w:abstractNum w:abstractNumId="40">
    <w:nsid w:val="5F3534A4"/>
    <w:multiLevelType w:val="hybridMultilevel"/>
    <w:lvl w:ilvl="0">
      <w:lvlJc w:val="left"/>
      <w:lvlText w:val="▪"/>
      <w:numFmt w:val="bullet"/>
      <w:start w:val="1"/>
    </w:lvl>
  </w:abstractNum>
  <w:abstractNum w:abstractNumId="41">
    <w:nsid w:val="73A1821B"/>
    <w:multiLevelType w:val="hybridMultilevel"/>
    <w:lvl w:ilvl="0">
      <w:lvlJc w:val="left"/>
      <w:lvlText w:val="▪"/>
      <w:numFmt w:val="bullet"/>
      <w:start w:val="1"/>
    </w:lvl>
  </w:abstractNum>
  <w:abstractNum w:abstractNumId="42">
    <w:nsid w:val="7DE67713"/>
    <w:multiLevelType w:val="hybridMultilevel"/>
    <w:lvl w:ilvl="0">
      <w:lvlJc w:val="left"/>
      <w:lvlText w:val="▪"/>
      <w:numFmt w:val="bullet"/>
      <w:start w:val="1"/>
    </w:lvl>
  </w:abstractNum>
  <w:abstractNum w:abstractNumId="43">
    <w:nsid w:val="555C55B5"/>
    <w:multiLevelType w:val="hybridMultilevel"/>
    <w:lvl w:ilvl="0">
      <w:lvlJc w:val="left"/>
      <w:lvlText w:val="▪"/>
      <w:numFmt w:val="bullet"/>
      <w:start w:val="1"/>
    </w:lvl>
  </w:abstractNum>
  <w:abstractNum w:abstractNumId="44">
    <w:nsid w:val="3FA62AC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45">
    <w:nsid w:val="14FCE74E"/>
    <w:multiLevelType w:val="hybridMultilevel"/>
    <w:lvl w:ilvl="0">
      <w:lvlJc w:val="left"/>
      <w:lvlText w:val="•"/>
      <w:numFmt w:val="bullet"/>
      <w:start w:val="1"/>
    </w:lvl>
  </w:abstractNum>
  <w:abstractNum w:abstractNumId="46">
    <w:nsid w:val="6A3DD3E8"/>
    <w:multiLevelType w:val="hybridMultilevel"/>
    <w:lvl w:ilvl="0">
      <w:lvlJc w:val="left"/>
      <w:lvlText w:val="(%1)"/>
      <w:numFmt w:val="lowerRoman"/>
      <w:start w:val="3"/>
    </w:lvl>
  </w:abstractNum>
  <w:abstractNum w:abstractNumId="47">
    <w:nsid w:val="71C91298"/>
    <w:multiLevelType w:val="hybridMultilevel"/>
    <w:lvl w:ilvl="0">
      <w:lvlJc w:val="left"/>
      <w:lvlText w:val="%1."/>
      <w:numFmt w:val="decimal"/>
      <w:start w:val="3"/>
    </w:lvl>
  </w:abstractNum>
  <w:abstractNum w:abstractNumId="48">
    <w:nsid w:val="9DAF632"/>
    <w:multiLevelType w:val="hybridMultilevel"/>
    <w:lvl w:ilvl="0">
      <w:lvlJc w:val="left"/>
      <w:lvlText w:val="%1."/>
      <w:numFmt w:val="upperLetter"/>
      <w:start w:val="2"/>
    </w:lvl>
  </w:abstractNum>
  <w:abstractNum w:abstractNumId="49">
    <w:nsid w:val="53299938"/>
    <w:multiLevelType w:val="hybridMultilevel"/>
    <w:lvl w:ilvl="0">
      <w:lvlJc w:val="left"/>
      <w:lvlText w:val="•"/>
      <w:numFmt w:val="bullet"/>
      <w:start w:val="1"/>
    </w:lvl>
  </w:abstractNum>
  <w:abstractNum w:abstractNumId="50">
    <w:nsid w:val="1FBFE8E0"/>
    <w:multiLevelType w:val="hybridMultilevel"/>
    <w:lvl w:ilvl="0">
      <w:lvlJc w:val="left"/>
      <w:lvlText w:val="•"/>
      <w:numFmt w:val="bullet"/>
      <w:start w:val="1"/>
    </w:lvl>
  </w:abstractNum>
  <w:abstractNum w:abstractNumId="51">
    <w:nsid w:val="5092CA79"/>
    <w:multiLevelType w:val="hybridMultilevel"/>
    <w:lvl w:ilvl="0">
      <w:lvlJc w:val="left"/>
      <w:lvlText w:val="•"/>
      <w:numFmt w:val="bullet"/>
      <w:start w:val="1"/>
    </w:lvl>
  </w:abstractNum>
  <w:abstractNum w:abstractNumId="52">
    <w:nsid w:val="1D545C4D"/>
    <w:multiLevelType w:val="hybridMultilevel"/>
    <w:lvl w:ilvl="0">
      <w:lvlJc w:val="left"/>
      <w:lvlText w:val="•"/>
      <w:numFmt w:val="bullet"/>
      <w:start w:val="1"/>
    </w:lvl>
  </w:abstractNum>
  <w:abstractNum w:abstractNumId="53">
    <w:nsid w:val="59ADEA3D"/>
    <w:multiLevelType w:val="hybridMultilevel"/>
    <w:lvl w:ilvl="0">
      <w:lvlJc w:val="left"/>
      <w:lvlText w:val="%1."/>
      <w:numFmt w:val="decimal"/>
      <w:start w:val="1"/>
    </w:lvl>
  </w:abstractNum>
  <w:abstractNum w:abstractNumId="54">
    <w:nsid w:val="288F1A34"/>
    <w:multiLevelType w:val="hybridMultilevel"/>
    <w:lvl w:ilvl="0">
      <w:lvlJc w:val="left"/>
      <w:lvlText w:val="%1."/>
      <w:numFmt w:val="decimal"/>
      <w:start w:val="5"/>
    </w:lvl>
  </w:abstractNum>
  <w:abstractNum w:abstractNumId="55">
    <w:nsid w:val="2A155DBC"/>
    <w:multiLevelType w:val="hybridMultilevel"/>
    <w:lvl w:ilvl="0">
      <w:lvlJc w:val="left"/>
      <w:lvlText w:val="(%1)"/>
      <w:numFmt w:val="decimal"/>
      <w:start w:val="1"/>
    </w:lvl>
  </w:abstractNum>
  <w:abstractNum w:abstractNumId="56">
    <w:nsid w:val="1D9F6E5F"/>
    <w:multiLevelType w:val="hybridMultilevel"/>
    <w:lvl w:ilvl="0">
      <w:lvlJc w:val="left"/>
      <w:lvlText w:val="•"/>
      <w:numFmt w:val="bullet"/>
      <w:start w:val="1"/>
    </w:lvl>
  </w:abstractNum>
  <w:abstractNum w:abstractNumId="57">
    <w:nsid w:val="97E1B4E"/>
    <w:multiLevelType w:val="hybridMultilevel"/>
    <w:lvl w:ilvl="0">
      <w:lvlJc w:val="left"/>
      <w:lvlText w:val="•"/>
      <w:numFmt w:val="bullet"/>
      <w:start w:val="1"/>
    </w:lvl>
  </w:abstractNum>
  <w:abstractNum w:abstractNumId="58">
    <w:nsid w:val="51088277"/>
    <w:multiLevelType w:val="hybridMultilevel"/>
    <w:lvl w:ilvl="0">
      <w:lvlJc w:val="left"/>
      <w:lvlText w:val="•"/>
      <w:numFmt w:val="bullet"/>
      <w:start w:val="1"/>
    </w:lvl>
  </w:abstractNum>
  <w:abstractNum w:abstractNumId="59">
    <w:nsid w:val="1CA0C5FA"/>
    <w:multiLevelType w:val="hybridMultilevel"/>
    <w:lvl w:ilvl="0">
      <w:lvlJc w:val="left"/>
      <w:lvlText w:val="(%1)"/>
      <w:numFmt w:val="lowerRoman"/>
      <w:start w:val="1"/>
    </w:lvl>
  </w:abstractNum>
  <w:abstractNum w:abstractNumId="60">
    <w:nsid w:val="53584BCB"/>
    <w:multiLevelType w:val="hybridMultilevel"/>
    <w:lvl w:ilvl="0">
      <w:lvlJc w:val="left"/>
      <w:lvlText w:val="•"/>
      <w:numFmt w:val="bullet"/>
      <w:start w:val="1"/>
    </w:lvl>
  </w:abstractNum>
  <w:abstractNum w:abstractNumId="61">
    <w:nsid w:val="415E286C"/>
    <w:multiLevelType w:val="hybridMultilevel"/>
    <w:lvl w:ilvl="0">
      <w:lvlJc w:val="left"/>
      <w:lvlText w:val="(%1)"/>
      <w:numFmt w:val="decimal"/>
      <w:start w:val="1"/>
    </w:lvl>
  </w:abstractNum>
  <w:abstractNum w:abstractNumId="62">
    <w:nsid w:val="7C58FD05"/>
    <w:multiLevelType w:val="hybridMultilevel"/>
    <w:lvl w:ilvl="0">
      <w:lvlJc w:val="left"/>
      <w:lvlText w:val="•"/>
      <w:numFmt w:val="bullet"/>
      <w:start w:val="1"/>
    </w:lvl>
  </w:abstractNum>
  <w:abstractNum w:abstractNumId="63">
    <w:nsid w:val="23D86AAC"/>
    <w:multiLevelType w:val="hybridMultilevel"/>
    <w:lvl w:ilvl="0">
      <w:lvlJc w:val="left"/>
      <w:lvlText w:val="%1"/>
      <w:numFmt w:val="decimal"/>
      <w:start w:val="97"/>
    </w:lvl>
  </w:abstractNum>
  <w:abstractNum w:abstractNumId="64">
    <w:nsid w:val="45E6D486"/>
    <w:multiLevelType w:val="hybridMultilevel"/>
    <w:lvl w:ilvl="0">
      <w:lvlJc w:val="left"/>
      <w:lvlText w:val="†"/>
      <w:numFmt w:val="bullet"/>
      <w:start w:val="1"/>
    </w:lvl>
    <w:lvl w:ilvl="1">
      <w:lvlJc w:val="left"/>
      <w:lvlText w:val="%2"/>
      <w:numFmt w:val="decimal"/>
      <w:start w:val="104"/>
    </w:lvl>
  </w:abstractNum>
  <w:abstractNum w:abstractNumId="65">
    <w:nsid w:val="5C10FE21"/>
    <w:multiLevelType w:val="hybridMultilevel"/>
    <w:lvl w:ilvl="0">
      <w:lvlJc w:val="left"/>
      <w:lvlText w:val="(%1)"/>
      <w:numFmt w:val="lowerLetter"/>
      <w:start w:val="1"/>
    </w:lvl>
  </w:abstractNum>
  <w:abstractNum w:abstractNumId="66">
    <w:nsid w:val="E7FFA2B"/>
    <w:multiLevelType w:val="hybridMultilevel"/>
    <w:lvl w:ilvl="0">
      <w:lvlJc w:val="left"/>
      <w:lvlText w:val="%1."/>
      <w:numFmt w:val="decimal"/>
      <w:start w:val="1"/>
    </w:lvl>
  </w:abstractNum>
  <w:abstractNum w:abstractNumId="67">
    <w:nsid w:val="3C5991AA"/>
    <w:multiLevelType w:val="hybridMultilevel"/>
    <w:lvl w:ilvl="0">
      <w:lvlJc w:val="left"/>
      <w:lvlText w:val="%1."/>
      <w:numFmt w:val="decimal"/>
      <w:start w:val="1"/>
    </w:lvl>
  </w:abstractNum>
  <w:abstractNum w:abstractNumId="68">
    <w:nsid w:val="4BD8591A"/>
    <w:multiLevelType w:val="hybridMultilevel"/>
    <w:lvl w:ilvl="0">
      <w:lvlJc w:val="left"/>
      <w:lvlText w:val="%1."/>
      <w:numFmt w:val="decimal"/>
      <w:start w:val="1"/>
    </w:lvl>
  </w:abstractNum>
  <w:abstractNum w:abstractNumId="69">
    <w:nsid w:val="78DF6A55"/>
    <w:multiLevelType w:val="hybridMultilevel"/>
    <w:lvl w:ilvl="0">
      <w:lvlJc w:val="left"/>
      <w:lvlText w:val="%1."/>
      <w:numFmt w:val="decimal"/>
      <w:start w:val="1"/>
    </w:lvl>
  </w:abstractNum>
  <w:abstractNum w:abstractNumId="70">
    <w:nsid w:val="39B7AAA2"/>
    <w:multiLevelType w:val="hybridMultilevel"/>
    <w:lvl w:ilvl="0">
      <w:lvlJc w:val="left"/>
      <w:lvlText w:val="•"/>
      <w:numFmt w:val="bullet"/>
      <w:start w:val="1"/>
    </w:lvl>
  </w:abstractNum>
  <w:abstractNum w:abstractNumId="71">
    <w:nsid w:val="2B0D8DBE"/>
    <w:multiLevelType w:val="hybridMultilevel"/>
    <w:lvl w:ilvl="0">
      <w:lvlJc w:val="left"/>
      <w:lvlText w:val="%1."/>
      <w:numFmt w:val="decimal"/>
      <w:start w:val="1"/>
    </w:lvl>
  </w:abstractNum>
  <w:abstractNum w:abstractNumId="72">
    <w:nsid w:val="6C80EC70"/>
    <w:multiLevelType w:val="hybridMultilevel"/>
    <w:lvl w:ilvl="0">
      <w:lvlJc w:val="left"/>
      <w:lvlText w:val="%1."/>
      <w:numFmt w:val="decimal"/>
      <w:start w:val="2"/>
    </w:lvl>
  </w:abstractNum>
  <w:abstractNum w:abstractNumId="73">
    <w:nsid w:val="379E21B5"/>
    <w:multiLevelType w:val="hybridMultilevel"/>
    <w:lvl w:ilvl="0">
      <w:lvlJc w:val="left"/>
      <w:lvlText w:val="%1."/>
      <w:numFmt w:val="decimal"/>
      <w:start w:val="2"/>
    </w:lvl>
  </w:abstractNum>
  <w:abstractNum w:abstractNumId="74">
    <w:nsid w:val="69E373"/>
    <w:multiLevelType w:val="hybridMultilevel"/>
    <w:lvl w:ilvl="0">
      <w:lvlJc w:val="left"/>
      <w:lvlText w:val="%1."/>
      <w:numFmt w:val="decimal"/>
      <w:start w:val="2"/>
    </w:lvl>
  </w:abstractNum>
  <w:abstractNum w:abstractNumId="75">
    <w:nsid w:val="2C27173B"/>
    <w:multiLevelType w:val="hybridMultilevel"/>
    <w:lvl w:ilvl="0">
      <w:lvlJc w:val="left"/>
      <w:lvlText w:val="%1."/>
      <w:numFmt w:val="decimal"/>
      <w:start w:val="2"/>
    </w:lvl>
  </w:abstractNum>
  <w:abstractNum w:abstractNumId="76">
    <w:nsid w:val="4C9B0904"/>
    <w:multiLevelType w:val="hybridMultilevel"/>
    <w:lvl w:ilvl="0">
      <w:lvlJc w:val="left"/>
      <w:lvlText w:val="%1."/>
      <w:numFmt w:val="decimal"/>
      <w:start w:val="2"/>
    </w:lvl>
  </w:abstractNum>
  <w:abstractNum w:abstractNumId="77">
    <w:nsid w:val="6AA7B75C"/>
    <w:multiLevelType w:val="hybridMultilevel"/>
    <w:lvl w:ilvl="0">
      <w:lvlJc w:val="left"/>
      <w:lvlText w:val="%1."/>
      <w:numFmt w:val="decimal"/>
      <w:start w:val="2"/>
    </w:lvl>
  </w:abstractNum>
  <w:abstractNum w:abstractNumId="78">
    <w:nsid w:val="1DF029D3"/>
    <w:multiLevelType w:val="hybridMultilevel"/>
    <w:lvl w:ilvl="0">
      <w:lvlJc w:val="left"/>
      <w:lvlText w:val="%1."/>
      <w:numFmt w:val="decimal"/>
      <w:start w:val="2"/>
    </w:lvl>
  </w:abstractNum>
  <w:abstractNum w:abstractNumId="79">
    <w:nsid w:val="5675FF36"/>
    <w:multiLevelType w:val="hybridMultilevel"/>
    <w:lvl w:ilvl="0">
      <w:lvlJc w:val="left"/>
      <w:lvlText w:val="(%1)"/>
      <w:numFmt w:val="lowerLetter"/>
      <w:start w:val="1"/>
    </w:lvl>
  </w:abstractNum>
  <w:abstractNum w:abstractNumId="80">
    <w:nsid w:val="3DD15094"/>
    <w:multiLevelType w:val="hybridMultilevel"/>
    <w:lvl w:ilvl="0">
      <w:lvlJc w:val="left"/>
      <w:lvlText w:val="%1."/>
      <w:numFmt w:val="decimal"/>
      <w:start w:val="2"/>
    </w:lvl>
  </w:abstractNum>
  <w:abstractNum w:abstractNumId="81">
    <w:nsid w:val="3DB012B3"/>
    <w:multiLevelType w:val="hybridMultilevel"/>
    <w:lvl w:ilvl="0">
      <w:lvlJc w:val="left"/>
      <w:lvlText w:val="%1)"/>
      <w:numFmt w:val="lowerRoman"/>
      <w:start w:val="1"/>
    </w:lvl>
  </w:abstractNum>
  <w:abstractNum w:abstractNumId="82">
    <w:nsid w:val="2708C9AF"/>
    <w:multiLevelType w:val="hybridMultilevel"/>
    <w:lvl w:ilvl="0">
      <w:lvlJc w:val="left"/>
      <w:lvlText w:val="%1."/>
      <w:numFmt w:val="decimal"/>
      <w:start w:val="2"/>
    </w:lvl>
  </w:abstractNum>
  <w:abstractNum w:abstractNumId="83">
    <w:nsid w:val="5B25ACE2"/>
    <w:multiLevelType w:val="hybridMultilevel"/>
    <w:lvl w:ilvl="0">
      <w:lvlJc w:val="left"/>
      <w:lvlText w:val="%1)"/>
      <w:numFmt w:val="lowerRoman"/>
      <w:start w:val="2"/>
    </w:lvl>
  </w:abstractNum>
  <w:abstractNum w:abstractNumId="84">
    <w:nsid w:val="175DFCF0"/>
    <w:multiLevelType w:val="hybridMultilevel"/>
    <w:lvl w:ilvl="0">
      <w:lvlJc w:val="left"/>
      <w:lvlText w:val="%1."/>
      <w:numFmt w:val="decimal"/>
      <w:start w:val="2"/>
    </w:lvl>
  </w:abstractNum>
  <w:abstractNum w:abstractNumId="85">
    <w:nsid w:val="4F97E3E4"/>
    <w:multiLevelType w:val="hybridMultilevel"/>
    <w:lvl w:ilvl="0">
      <w:lvlJc w:val="left"/>
      <w:lvlText w:val="%1."/>
      <w:numFmt w:val="decimal"/>
      <w:start w:val="2"/>
    </w:lvl>
  </w:abstractNum>
  <w:abstractNum w:abstractNumId="86">
    <w:nsid w:val="53B0A9E"/>
    <w:multiLevelType w:val="hybridMultilevel"/>
    <w:lvl w:ilvl="0">
      <w:lvlJc w:val="left"/>
      <w:lvlText w:val="%1."/>
      <w:numFmt w:val="decimal"/>
      <w:start w:val="2"/>
    </w:lvl>
  </w:abstractNum>
  <w:abstractNum w:abstractNumId="87">
    <w:nsid w:val="34FD6B4F"/>
    <w:multiLevelType w:val="hybridMultilevel"/>
    <w:lvl w:ilvl="0">
      <w:lvlJc w:val="left"/>
      <w:lvlText w:val="%1."/>
      <w:numFmt w:val="decimal"/>
      <w:start w:val="2"/>
    </w:lvl>
  </w:abstractNum>
  <w:abstractNum w:abstractNumId="88">
    <w:nsid w:val="5915FF32"/>
    <w:multiLevelType w:val="hybridMultilevel"/>
    <w:lvl w:ilvl="0">
      <w:lvlJc w:val="left"/>
      <w:lvlText w:val="%1."/>
      <w:numFmt w:val="decimal"/>
      <w:start w:val="4"/>
    </w:lvl>
  </w:abstractNum>
  <w:abstractNum w:abstractNumId="89">
    <w:nsid w:val="56438D15"/>
    <w:multiLevelType w:val="hybridMultilevel"/>
    <w:lvl w:ilvl="0">
      <w:lvlJc w:val="left"/>
      <w:lvlText w:val="%1."/>
      <w:numFmt w:val="decimal"/>
      <w:start w:val="5"/>
    </w:lvl>
  </w:abstractNum>
  <w:abstractNum w:abstractNumId="90">
    <w:nsid w:val="519E3149"/>
    <w:multiLevelType w:val="hybridMultilevel"/>
    <w:lvl w:ilvl="0">
      <w:lvlJc w:val="left"/>
      <w:lvlText w:val="%1."/>
      <w:numFmt w:val="decimal"/>
      <w:start w:val="6"/>
    </w:lvl>
  </w:abstractNum>
  <w:abstractNum w:abstractNumId="91">
    <w:nsid w:val="2C6E4AFD"/>
    <w:multiLevelType w:val="hybridMultilevel"/>
    <w:lvl w:ilvl="0">
      <w:lvlJc w:val="left"/>
      <w:lvlText w:val="(%1)"/>
      <w:numFmt w:val="lowerLetter"/>
      <w:start w:val="1"/>
    </w:lvl>
  </w:abstractNum>
  <w:abstractNum w:abstractNumId="92">
    <w:nsid w:val="17A1B582"/>
    <w:multiLevelType w:val="hybridMultilevel"/>
    <w:lvl w:ilvl="0">
      <w:lvlJc w:val="left"/>
      <w:lvlText w:val="%1."/>
      <w:numFmt w:val="decimal"/>
      <w:start w:val="6"/>
    </w:lvl>
  </w:abstractNum>
  <w:abstractNum w:abstractNumId="93">
    <w:nsid w:val="4DF72E4E"/>
    <w:multiLevelType w:val="hybridMultilevel"/>
    <w:lvl w:ilvl="0">
      <w:lvlJc w:val="left"/>
      <w:lvlText w:val="(%1)"/>
      <w:numFmt w:val="lowerLetter"/>
      <w:start w:val="6"/>
    </w:lvl>
  </w:abstractNum>
  <w:abstractNum w:abstractNumId="94">
    <w:nsid w:val="5046B5A9"/>
    <w:multiLevelType w:val="hybridMultilevel"/>
    <w:lvl w:ilvl="0">
      <w:lvlJc w:val="left"/>
      <w:lvlText w:val="(%1)"/>
      <w:numFmt w:val="lowerLetter"/>
      <w:start w:val="7"/>
    </w:lvl>
  </w:abstractNum>
  <w:abstractNum w:abstractNumId="95">
    <w:nsid w:val="5D888A08"/>
    <w:multiLevelType w:val="hybridMultilevel"/>
    <w:lvl w:ilvl="0">
      <w:lvlJc w:val="left"/>
      <w:lvlText w:val="%1."/>
      <w:numFmt w:val="decimal"/>
      <w:start w:val="8"/>
    </w:lvl>
  </w:abstractNum>
  <w:abstractNum w:abstractNumId="96">
    <w:nsid w:val="2A082C70"/>
    <w:multiLevelType w:val="hybridMultilevel"/>
    <w:lvl w:ilvl="0">
      <w:lvlJc w:val="left"/>
      <w:lvlText w:val="%1."/>
      <w:numFmt w:val="decimal"/>
      <w:start w:val="8"/>
    </w:lvl>
  </w:abstractNum>
  <w:abstractNum w:abstractNumId="97">
    <w:nsid w:val="5EC6AFD4"/>
    <w:multiLevelType w:val="hybridMultilevel"/>
    <w:lvl w:ilvl="0">
      <w:lvlJc w:val="left"/>
      <w:lvlText w:val="%1."/>
      <w:numFmt w:val="decimal"/>
      <w:start w:val="8"/>
    </w:lvl>
  </w:abstractNum>
  <w:abstractNum w:abstractNumId="98">
    <w:nsid w:val="19E21BB2"/>
    <w:multiLevelType w:val="hybridMultilevel"/>
    <w:lvl w:ilvl="0">
      <w:lvlJc w:val="left"/>
      <w:lvlText w:val="%1."/>
      <w:numFmt w:val="decimal"/>
      <w:start w:val="8"/>
    </w:lvl>
  </w:abstractNum>
  <w:abstractNum w:abstractNumId="99">
    <w:nsid w:val="75E0858A"/>
    <w:multiLevelType w:val="hybridMultilevel"/>
    <w:lvl w:ilvl="0">
      <w:lvlJc w:val="left"/>
      <w:lvlText w:val="%1."/>
      <w:numFmt w:val="decimal"/>
      <w:start w:val="9"/>
    </w:lvl>
  </w:abstractNum>
  <w:abstractNum w:abstractNumId="100">
    <w:nsid w:val="57A61A29"/>
    <w:multiLevelType w:val="hybridMultilevel"/>
    <w:lvl w:ilvl="0">
      <w:lvlJc w:val="left"/>
      <w:lvlText w:val="%1."/>
      <w:numFmt w:val="decimal"/>
      <w:start w:val="9"/>
    </w:lvl>
  </w:abstractNum>
  <w:abstractNum w:abstractNumId="101">
    <w:nsid w:val="5399C654"/>
    <w:multiLevelType w:val="hybridMultilevel"/>
    <w:lvl w:ilvl="0">
      <w:lvlJc w:val="left"/>
      <w:lvlText w:val="%1."/>
      <w:numFmt w:val="decimal"/>
      <w:start w:val="10"/>
    </w:lvl>
  </w:abstractNum>
  <w:abstractNum w:abstractNumId="102">
    <w:nsid w:val="20EE1348"/>
    <w:multiLevelType w:val="hybridMultilevel"/>
    <w:lvl w:ilvl="0">
      <w:lvlJc w:val="left"/>
      <w:lvlText w:val="%1."/>
      <w:numFmt w:val="decimal"/>
      <w:start w:val="11"/>
    </w:lvl>
  </w:abstractNum>
  <w:abstractNum w:abstractNumId="103">
    <w:nsid w:val="4427069A"/>
    <w:multiLevelType w:val="hybridMultilevel"/>
    <w:lvl w:ilvl="0">
      <w:lvlJc w:val="left"/>
      <w:lvlText w:val="%1."/>
      <w:numFmt w:val="decimal"/>
      <w:start w:val="11"/>
    </w:lvl>
  </w:abstractNum>
  <w:abstractNum w:abstractNumId="104">
    <w:nsid w:val="B37E80A"/>
    <w:multiLevelType w:val="hybridMultilevel"/>
    <w:lvl w:ilvl="0">
      <w:lvlJc w:val="left"/>
      <w:lvlText w:val="(%1)"/>
      <w:numFmt w:val="lowerLetter"/>
      <w:start w:val="1"/>
    </w:lvl>
  </w:abstractNum>
  <w:abstractNum w:abstractNumId="105">
    <w:nsid w:val="2157F6BC"/>
    <w:multiLevelType w:val="hybridMultilevel"/>
    <w:lvl w:ilvl="0">
      <w:lvlJc w:val="left"/>
      <w:lvlText w:val="%1."/>
      <w:numFmt w:val="decimal"/>
      <w:start w:val="12"/>
    </w:lvl>
  </w:abstractNum>
  <w:abstractNum w:abstractNumId="106">
    <w:nsid w:val="704E1DD5"/>
    <w:multiLevelType w:val="hybridMultilevel"/>
    <w:lvl w:ilvl="0">
      <w:lvlJc w:val="left"/>
      <w:lvlText w:val="%1."/>
      <w:numFmt w:val="decimal"/>
      <w:start w:val="12"/>
    </w:lvl>
  </w:abstractNum>
  <w:abstractNum w:abstractNumId="107">
    <w:nsid w:val="57D2F10E"/>
    <w:multiLevelType w:val="hybridMultilevel"/>
    <w:lvl w:ilvl="0">
      <w:lvlJc w:val="left"/>
      <w:lvlText w:val="%1."/>
      <w:numFmt w:val="decimal"/>
      <w:start w:val="12"/>
    </w:lvl>
  </w:abstractNum>
  <w:abstractNum w:abstractNumId="108">
    <w:nsid w:val="BFFAE18"/>
    <w:multiLevelType w:val="hybridMultilevel"/>
    <w:lvl w:ilvl="0">
      <w:lvlJc w:val="left"/>
      <w:lvlText w:val="%1."/>
      <w:numFmt w:val="decimal"/>
      <w:start w:val="13"/>
    </w:lvl>
  </w:abstractNum>
  <w:abstractNum w:abstractNumId="109">
    <w:nsid w:val="E3E47A8"/>
    <w:multiLevelType w:val="hybridMultilevel"/>
    <w:lvl w:ilvl="0">
      <w:lvlJc w:val="left"/>
      <w:lvlText w:val="%1."/>
      <w:numFmt w:val="decimal"/>
      <w:start w:val="1"/>
    </w:lvl>
  </w:abstractNum>
  <w:abstractNum w:abstractNumId="110">
    <w:nsid w:val="2E48F044"/>
    <w:multiLevelType w:val="hybridMultilevel"/>
    <w:lvl w:ilvl="0">
      <w:lvlJc w:val="left"/>
      <w:lvlText w:val="%1."/>
      <w:numFmt w:val="decimal"/>
      <w:start w:val="13"/>
    </w:lvl>
  </w:abstractNum>
  <w:abstractNum w:abstractNumId="111">
    <w:nsid w:val="49D0FEAC"/>
    <w:multiLevelType w:val="hybridMultilevel"/>
    <w:lvl w:ilvl="0">
      <w:lvlJc w:val="left"/>
      <w:lvlText w:val="(%1)"/>
      <w:numFmt w:val="decimal"/>
      <w:start w:val="1"/>
    </w:lvl>
  </w:abstractNum>
  <w:abstractNum w:abstractNumId="112">
    <w:nsid w:val="4BEE5A5B"/>
    <w:multiLevelType w:val="hybridMultilevel"/>
    <w:lvl w:ilvl="0">
      <w:lvlJc w:val="left"/>
      <w:lvlText w:val="%1."/>
      <w:numFmt w:val="decimal"/>
      <w:start w:val="13"/>
    </w:lvl>
  </w:abstractNum>
  <w:abstractNum w:abstractNumId="113">
    <w:nsid w:val="5551B9F3"/>
    <w:multiLevelType w:val="hybridMultilevel"/>
    <w:lvl w:ilvl="0">
      <w:lvlJc w:val="left"/>
      <w:lvlText w:val="%1."/>
      <w:numFmt w:val="decimal"/>
      <w:start w:val="13"/>
    </w:lvl>
  </w:abstractNum>
  <w:abstractNum w:abstractNumId="114">
    <w:nsid w:val="24F6AB8E"/>
    <w:multiLevelType w:val="hybridMultilevel"/>
    <w:lvl w:ilvl="0">
      <w:lvlJc w:val="left"/>
      <w:lvlText w:val="%1."/>
      <w:numFmt w:val="decimal"/>
      <w:start w:val="14"/>
    </w:lvl>
  </w:abstractNum>
  <w:abstractNum w:abstractNumId="115">
    <w:nsid w:val="634C574C"/>
    <w:multiLevelType w:val="hybridMultilevel"/>
    <w:lvl w:ilvl="0">
      <w:lvlJc w:val="left"/>
      <w:lvlText w:val="%1."/>
      <w:numFmt w:val="decimal"/>
      <w:start w:val="16"/>
    </w:lvl>
  </w:abstractNum>
  <w:abstractNum w:abstractNumId="116">
    <w:nsid w:val="24E99DD7"/>
    <w:multiLevelType w:val="hybridMultilevel"/>
    <w:lvl w:ilvl="0">
      <w:lvlJc w:val="left"/>
      <w:lvlText w:val="(%1)"/>
      <w:numFmt w:val="decimal"/>
      <w:start w:val="1"/>
    </w:lvl>
  </w:abstractNum>
  <w:abstractNum w:abstractNumId="117">
    <w:nsid w:val="2A31B62D"/>
    <w:multiLevelType w:val="hybridMultilevel"/>
    <w:lvl w:ilvl="0">
      <w:lvlJc w:val="left"/>
      <w:lvlText w:val="(%1)"/>
      <w:numFmt w:val="decimal"/>
      <w:start w:val="3"/>
    </w:lvl>
  </w:abstractNum>
  <w:abstractNum w:abstractNumId="118">
    <w:nsid w:val="1849C29B"/>
    <w:multiLevelType w:val="hybridMultilevel"/>
    <w:lvl w:ilvl="0">
      <w:lvlJc w:val="left"/>
      <w:lvlText w:val="(%1)"/>
      <w:numFmt w:val="decimal"/>
      <w:start w:val="4"/>
    </w:lvl>
  </w:abstractNum>
  <w:abstractNum w:abstractNumId="119">
    <w:nsid w:val="7DFF9D09"/>
    <w:multiLevelType w:val="hybridMultilevel"/>
    <w:lvl w:ilvl="0">
      <w:lvlJc w:val="left"/>
      <w:lvlText w:val="%1."/>
      <w:numFmt w:val="decimal"/>
      <w:start w:val="17"/>
    </w:lvl>
  </w:abstractNum>
  <w:abstractNum w:abstractNumId="120">
    <w:nsid w:val="754342"/>
    <w:multiLevelType w:val="hybridMultilevel"/>
    <w:lvl w:ilvl="0">
      <w:lvlJc w:val="left"/>
      <w:lvlText w:val="%1."/>
      <w:numFmt w:val="decimal"/>
      <w:start w:val="18"/>
    </w:lvl>
  </w:abstractNum>
  <w:abstractNum w:abstractNumId="121">
    <w:nsid w:val="69E7F3E5"/>
    <w:multiLevelType w:val="hybridMultilevel"/>
    <w:lvl w:ilvl="0">
      <w:lvlJc w:val="left"/>
      <w:lvlText w:val="%1."/>
      <w:numFmt w:val="decimal"/>
      <w:start w:val="20"/>
    </w:lvl>
  </w:abstractNum>
  <w:abstractNum w:abstractNumId="122">
    <w:nsid w:val="2A6DE806"/>
    <w:multiLevelType w:val="hybridMultilevel"/>
    <w:lvl w:ilvl="0">
      <w:lvlJc w:val="left"/>
      <w:lvlText w:val="%1."/>
      <w:numFmt w:val="decimal"/>
      <w:start w:val="21"/>
    </w:lvl>
  </w:abstractNum>
  <w:abstractNum w:abstractNumId="123">
    <w:nsid w:val="1816F8C4"/>
    <w:multiLevelType w:val="hybridMultilevel"/>
    <w:lvl w:ilvl="0">
      <w:lvlJc w:val="left"/>
      <w:lvlText w:val="%1."/>
      <w:numFmt w:val="decimal"/>
      <w:start w:val="22"/>
    </w:lvl>
  </w:abstractNum>
  <w:abstractNum w:abstractNumId="124">
    <w:nsid w:val="37DF2233"/>
    <w:multiLevelType w:val="hybridMultilevel"/>
    <w:lvl w:ilvl="0">
      <w:lvlJc w:val="left"/>
      <w:lvlText w:val="%1."/>
      <w:numFmt w:val="decimal"/>
      <w:start w:val="23"/>
    </w:lvl>
  </w:abstractNum>
  <w:abstractNum w:abstractNumId="125">
    <w:nsid w:val="7AB49DAF"/>
    <w:multiLevelType w:val="hybridMultilevel"/>
    <w:lvl w:ilvl="0">
      <w:lvlJc w:val="left"/>
      <w:lvlText w:val="%1."/>
      <w:numFmt w:val="decimal"/>
      <w:start w:val="24"/>
    </w:lvl>
  </w:abstractNum>
  <w:abstractNum w:abstractNumId="126">
    <w:nsid w:val="759F82CD"/>
    <w:multiLevelType w:val="hybridMultilevel"/>
    <w:lvl w:ilvl="0">
      <w:lvlJc w:val="left"/>
      <w:lvlText w:val="%1."/>
      <w:numFmt w:val="decimal"/>
      <w:start w:val="1"/>
    </w:lvl>
  </w:abstractNum>
  <w:abstractNum w:abstractNumId="127">
    <w:nsid w:val="61E74EA3"/>
    <w:multiLevelType w:val="hybridMultilevel"/>
    <w:lvl w:ilvl="0">
      <w:lvlJc w:val="left"/>
      <w:lvlText w:val="(%1)"/>
      <w:numFmt w:val="lowerRoman"/>
      <w:start w:val="1"/>
    </w:lvl>
  </w:abstractNum>
  <w:abstractNum w:abstractNumId="128">
    <w:nsid w:val="597B4D84"/>
    <w:multiLevelType w:val="hybridMultilevel"/>
    <w:lvl w:ilvl="0">
      <w:lvlJc w:val="left"/>
      <w:lvlText w:val="(%1)"/>
      <w:numFmt w:val="lowerRoman"/>
      <w:start w:val="1"/>
    </w:lvl>
  </w:abstractNum>
  <w:abstractNum w:abstractNumId="129">
    <w:nsid w:val="F819E7F"/>
    <w:multiLevelType w:val="hybridMultilevel"/>
    <w:lvl w:ilvl="0">
      <w:lvlJc w:val="left"/>
      <w:lvlText w:val="%1."/>
      <w:numFmt w:val="decimal"/>
      <w:start w:val="2"/>
    </w:lvl>
  </w:abstractNum>
  <w:abstractNum w:abstractNumId="130">
    <w:nsid w:val="57C7D42D"/>
    <w:multiLevelType w:val="hybridMultilevel"/>
    <w:lvl w:ilvl="0">
      <w:lvlJc w:val="left"/>
      <w:lvlText w:val="(%1)"/>
      <w:numFmt w:val="lowerRoman"/>
      <w:start w:val="1"/>
    </w:lvl>
  </w:abstractNum>
  <w:abstractNum w:abstractNumId="131">
    <w:nsid w:val="312167AD"/>
    <w:multiLevelType w:val="hybridMultilevel"/>
    <w:lvl w:ilvl="0">
      <w:lvlJc w:val="left"/>
      <w:lvlText w:val="%1."/>
      <w:numFmt w:val="decimal"/>
      <w:start w:val="3"/>
    </w:lvl>
  </w:abstractNum>
  <w:abstractNum w:abstractNumId="132">
    <w:nsid w:val="631B64D4"/>
    <w:multiLevelType w:val="hybridMultilevel"/>
    <w:lvl w:ilvl="0">
      <w:lvlJc w:val="left"/>
      <w:lvlText w:val="(%1)"/>
      <w:numFmt w:val="lowerRoman"/>
      <w:start w:val="1"/>
    </w:lvl>
  </w:abstractNum>
  <w:abstractNum w:abstractNumId="133">
    <w:nsid w:val="78B5E776"/>
    <w:multiLevelType w:val="hybridMultilevel"/>
    <w:lvl w:ilvl="0">
      <w:lvlJc w:val="left"/>
      <w:lvlText w:val="(%1)"/>
      <w:numFmt w:val="lowerRoman"/>
      <w:start w:val="2"/>
    </w:lvl>
  </w:abstractNum>
  <w:abstractNum w:abstractNumId="134">
    <w:nsid w:val="75486E47"/>
    <w:multiLevelType w:val="hybridMultilevel"/>
    <w:lvl w:ilvl="0">
      <w:lvlJc w:val="left"/>
      <w:lvlText w:val="(%1)"/>
      <w:numFmt w:val="lowerRoman"/>
      <w:start w:val="1"/>
    </w:lvl>
  </w:abstractNum>
  <w:abstractNum w:abstractNumId="135">
    <w:nsid w:val="6E534CDE"/>
    <w:multiLevelType w:val="hybridMultilevel"/>
    <w:lvl w:ilvl="0">
      <w:lvlJc w:val="left"/>
      <w:lvlText w:val="(%1)"/>
      <w:numFmt w:val="lowerLetter"/>
      <w:start w:val="1"/>
    </w:lvl>
  </w:abstractNum>
  <w:abstractNum w:abstractNumId="136">
    <w:nsid w:val="1A0DDE32"/>
    <w:multiLevelType w:val="hybridMultilevel"/>
    <w:lvl w:ilvl="0">
      <w:lvlJc w:val="left"/>
      <w:lvlText w:val="(%1)"/>
      <w:numFmt w:val="lowerLetter"/>
      <w:start w:val="1"/>
    </w:lvl>
  </w:abstractNum>
  <w:abstractNum w:abstractNumId="137">
    <w:nsid w:val="65968C1C"/>
    <w:multiLevelType w:val="hybridMultilevel"/>
    <w:lvl w:ilvl="0">
      <w:lvlJc w:val="left"/>
      <w:lvlText w:val="(%1)"/>
      <w:numFmt w:val="lowerLetter"/>
      <w:start w:val="1"/>
    </w:lvl>
  </w:abstractNum>
  <w:abstractNum w:abstractNumId="138">
    <w:nsid w:val="46263DEC"/>
    <w:multiLevelType w:val="hybridMultilevel"/>
    <w:lvl w:ilvl="0">
      <w:lvlJc w:val="left"/>
      <w:lvlText w:val="(%1)"/>
      <w:numFmt w:val="lowerLetter"/>
      <w:start w:val="1"/>
    </w:lvl>
  </w:abstractNum>
  <w:abstractNum w:abstractNumId="139">
    <w:nsid w:val="260D8C4A"/>
    <w:multiLevelType w:val="hybridMultilevel"/>
    <w:lvl w:ilvl="0">
      <w:lvlJc w:val="left"/>
      <w:lvlText w:val="(%1)"/>
      <w:numFmt w:val="lowerRoman"/>
      <w:start w:val="1"/>
    </w:lvl>
  </w:abstractNum>
  <w:abstractNum w:abstractNumId="140">
    <w:nsid w:val="73D4D3C4"/>
    <w:multiLevelType w:val="hybridMultilevel"/>
    <w:lvl w:ilvl="0">
      <w:lvlJc w:val="left"/>
      <w:lvlText w:val="(%1)"/>
      <w:numFmt w:val="lowerRoman"/>
      <w:start w:val="1"/>
    </w:lvl>
  </w:abstractNum>
  <w:abstractNum w:abstractNumId="141">
    <w:nsid w:val="746F2E30"/>
    <w:multiLevelType w:val="hybridMultilevel"/>
    <w:lvl w:ilvl="0">
      <w:lvlJc w:val="left"/>
      <w:lvlText w:val="(%1)"/>
      <w:numFmt w:val="lowerLetter"/>
      <w:start w:val="1"/>
    </w:lvl>
  </w:abstractNum>
  <w:abstractNum w:abstractNumId="142">
    <w:nsid w:val="6FDE8AF6"/>
    <w:multiLevelType w:val="hybridMultilevel"/>
    <w:lvl w:ilvl="0">
      <w:lvlJc w:val="left"/>
      <w:lvlText w:val="(%1)"/>
      <w:numFmt w:val="lowerLetter"/>
      <w:start w:val="3"/>
    </w:lvl>
  </w:abstractNum>
  <w:abstractNum w:abstractNumId="143">
    <w:nsid w:val="3FC32E20"/>
    <w:multiLevelType w:val="hybridMultilevel"/>
    <w:lvl w:ilvl="0">
      <w:lvlJc w:val="left"/>
      <w:lvlText w:val="%1."/>
      <w:numFmt w:val="decimal"/>
      <w:start w:val="4"/>
    </w:lvl>
  </w:abstractNum>
  <w:abstractNum w:abstractNumId="144">
    <w:nsid w:val="49C0E823"/>
    <w:multiLevelType w:val="hybridMultilevel"/>
    <w:lvl w:ilvl="0">
      <w:lvlJc w:val="left"/>
      <w:lvlText w:val="%1."/>
      <w:numFmt w:val="decimal"/>
      <w:start w:val="5"/>
    </w:lvl>
  </w:abstractNum>
  <w:abstractNum w:abstractNumId="145">
    <w:nsid w:val="14D53685"/>
    <w:multiLevelType w:val="hybridMultilevel"/>
    <w:lvl w:ilvl="0">
      <w:lvlJc w:val="left"/>
      <w:lvlText w:val="%1."/>
      <w:numFmt w:val="decimal"/>
      <w:start w:val="6"/>
    </w:lvl>
  </w:abstractNum>
  <w:abstractNum w:abstractNumId="146">
    <w:nsid w:val="230F856C"/>
    <w:multiLevelType w:val="hybridMultilevel"/>
    <w:lvl w:ilvl="0">
      <w:lvlJc w:val="left"/>
      <w:lvlText w:val="(%1)"/>
      <w:numFmt w:val="lowerRoman"/>
      <w:start w:val="1"/>
    </w:lvl>
  </w:abstractNum>
  <w:abstractNum w:abstractNumId="147">
    <w:nsid w:val="6EAA85FB"/>
    <w:multiLevelType w:val="hybridMultilevel"/>
    <w:lvl w:ilvl="0">
      <w:lvlJc w:val="left"/>
      <w:lvlText w:val="(%1)"/>
      <w:numFmt w:val="lowerRoman"/>
      <w:start w:val="1"/>
    </w:lvl>
  </w:abstractNum>
  <w:abstractNum w:abstractNumId="148">
    <w:nsid w:val="3F06ECB2"/>
    <w:multiLevelType w:val="hybridMultilevel"/>
    <w:lvl w:ilvl="0">
      <w:lvlJc w:val="left"/>
      <w:lvlText w:val="%1."/>
      <w:numFmt w:val="decimal"/>
      <w:start w:val="9"/>
    </w:lvl>
  </w:abstractNum>
  <w:abstractNum w:abstractNumId="149">
    <w:nsid w:val="3B594807"/>
    <w:multiLevelType w:val="hybridMultilevel"/>
    <w:lvl w:ilvl="0">
      <w:lvlJc w:val="left"/>
      <w:lvlText w:val="(%1)"/>
      <w:numFmt w:val="lowerLetter"/>
      <w:start w:val="1"/>
    </w:lvl>
  </w:abstractNum>
  <w:abstractNum w:abstractNumId="150">
    <w:nsid w:val="6CAA2304"/>
    <w:multiLevelType w:val="hybridMultilevel"/>
    <w:lvl w:ilvl="0">
      <w:lvlJc w:val="left"/>
      <w:lvlText w:val="%1"/>
      <w:numFmt w:val="decimal"/>
      <w:start w:val="1"/>
    </w:lvl>
    <w:lvl w:ilvl="1">
      <w:lvlJc w:val="left"/>
      <w:lvlText w:val="(%2)"/>
      <w:numFmt w:val="lowerLetter"/>
      <w:start w:val="1"/>
    </w:lvl>
  </w:abstractNum>
  <w:abstractNum w:abstractNumId="151">
    <w:nsid w:val="3F7C2FF4"/>
    <w:multiLevelType w:val="hybridMultilevel"/>
    <w:lvl w:ilvl="0">
      <w:lvlJc w:val="left"/>
      <w:lvlText w:val="%1."/>
      <w:numFmt w:val="decimal"/>
      <w:start w:val="2"/>
    </w:lvl>
    <w:lvl w:ilvl="1">
      <w:lvlJc w:val="left"/>
      <w:lvlText w:val="%2"/>
      <w:numFmt w:val="lowerLetter"/>
      <w:start w:val="1"/>
    </w:lvl>
  </w:abstractNum>
  <w:abstractNum w:abstractNumId="152">
    <w:nsid w:val="25413BEC"/>
    <w:multiLevelType w:val="hybridMultilevel"/>
    <w:lvl w:ilvl="0">
      <w:lvlJc w:val="left"/>
      <w:lvlText w:val="%1."/>
      <w:numFmt w:val="decimal"/>
      <w:start w:val="5"/>
    </w:lvl>
  </w:abstractNum>
  <w:abstractNum w:abstractNumId="153">
    <w:nsid w:val="17180B0B"/>
    <w:multiLevelType w:val="hybridMultilevel"/>
    <w:lvl w:ilvl="0">
      <w:lvlJc w:val="left"/>
      <w:lvlText w:val="%1."/>
      <w:numFmt w:val="decimal"/>
      <w:start w:val="1"/>
    </w:lvl>
    <w:lvl w:ilvl="1">
      <w:lvlJc w:val="left"/>
      <w:lvlText w:val="(%2)"/>
      <w:numFmt w:val="lowerLetter"/>
      <w:start w:val="1"/>
    </w:lvl>
  </w:abstractNum>
  <w:abstractNum w:abstractNumId="154">
    <w:nsid w:val="579328B9"/>
    <w:multiLevelType w:val="hybridMultilevel"/>
    <w:lvl w:ilvl="0">
      <w:lvlJc w:val="left"/>
      <w:lvlText w:val="%1."/>
      <w:numFmt w:val="decimal"/>
      <w:start w:val="1"/>
    </w:lvl>
  </w:abstractNum>
  <w:abstractNum w:abstractNumId="155">
    <w:nsid w:val="5D205E20"/>
    <w:multiLevelType w:val="hybridMultilevel"/>
    <w:lvl w:ilvl="0">
      <w:lvlJc w:val="left"/>
      <w:lvlText w:val="%1."/>
      <w:numFmt w:val="decimal"/>
      <w:start w:val="2"/>
    </w:lvl>
  </w:abstractNum>
  <w:abstractNum w:abstractNumId="156">
    <w:nsid w:val="11CCA8BA"/>
    <w:multiLevelType w:val="hybridMultilevel"/>
    <w:lvl w:ilvl="0">
      <w:lvlJc w:val="left"/>
      <w:lvlText w:val="1"/>
      <w:numFmt w:val="bullet"/>
      <w:start w:val="1"/>
    </w:lvl>
  </w:abstractNum>
  <w:abstractNum w:abstractNumId="157">
    <w:nsid w:val="4D32AB86"/>
    <w:multiLevelType w:val="hybridMultilevel"/>
    <w:lvl w:ilvl="0">
      <w:lvlJc w:val="left"/>
      <w:lvlText w:val="%1."/>
      <w:numFmt w:val="decimal"/>
      <w:start w:val="1"/>
    </w:lvl>
    <w:lvl w:ilvl="1">
      <w:lvlJc w:val="left"/>
      <w:lvlText w:val="(%2)"/>
      <w:numFmt w:val="lowerLetter"/>
      <w:start w:val="1"/>
    </w:lvl>
  </w:abstractNum>
  <w:abstractNum w:abstractNumId="158">
    <w:nsid w:val="3F07ACC3"/>
    <w:multiLevelType w:val="hybridMultilevel"/>
    <w:lvl w:ilvl="0">
      <w:lvlJc w:val="left"/>
      <w:lvlText w:val="%1."/>
      <w:numFmt w:val="decimal"/>
      <w:start w:val="1"/>
    </w:lvl>
    <w:lvl w:ilvl="1">
      <w:lvlJc w:val="left"/>
      <w:lvlText w:val="(%2)"/>
      <w:numFmt w:val="lowerLetter"/>
      <w:start w:val="1"/>
    </w:lvl>
  </w:abstractNum>
  <w:abstractNum w:abstractNumId="159">
    <w:nsid w:val="6B47F63E"/>
    <w:multiLevelType w:val="hybridMultilevel"/>
    <w:lvl w:ilvl="0">
      <w:lvlJc w:val="left"/>
      <w:lvlText w:val="(%1)"/>
      <w:numFmt w:val="decimal"/>
      <w:start w:val="1"/>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3" Type="http://schemas.openxmlformats.org/officeDocument/2006/relationships/image" Target="media/image391.png"/><Relationship Id="rId405" Type="http://schemas.openxmlformats.org/officeDocument/2006/relationships/image" Target="media/image392.png"/><Relationship Id="rId406" Type="http://schemas.openxmlformats.org/officeDocument/2006/relationships/image" Target="media/image393.png"/><Relationship Id="rId407" Type="http://schemas.openxmlformats.org/officeDocument/2006/relationships/image" Target="media/image394.png"/><Relationship Id="rId409"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412" Type="http://schemas.openxmlformats.org/officeDocument/2006/relationships/image" Target="media/image398.png"/><Relationship Id="rId414" Type="http://schemas.openxmlformats.org/officeDocument/2006/relationships/image" Target="media/image399.png"/><Relationship Id="rId415" Type="http://schemas.openxmlformats.org/officeDocument/2006/relationships/image" Target="media/image400.png"/><Relationship Id="rId416" Type="http://schemas.openxmlformats.org/officeDocument/2006/relationships/image" Target="media/image401.png"/><Relationship Id="rId418" Type="http://schemas.openxmlformats.org/officeDocument/2006/relationships/image" Target="media/image402.png"/><Relationship Id="rId419" Type="http://schemas.openxmlformats.org/officeDocument/2006/relationships/image" Target="media/image403.png"/><Relationship Id="rId420" Type="http://schemas.openxmlformats.org/officeDocument/2006/relationships/image" Target="media/image404.png"/><Relationship Id="rId422" Type="http://schemas.openxmlformats.org/officeDocument/2006/relationships/image" Target="media/image405.png"/><Relationship Id="rId423" Type="http://schemas.openxmlformats.org/officeDocument/2006/relationships/image" Target="media/image406.png"/><Relationship Id="rId424" Type="http://schemas.openxmlformats.org/officeDocument/2006/relationships/image" Target="media/image407.png"/><Relationship Id="rId425" Type="http://schemas.openxmlformats.org/officeDocument/2006/relationships/image" Target="media/image408.png"/><Relationship Id="rId427" Type="http://schemas.openxmlformats.org/officeDocument/2006/relationships/image" Target="media/image409.png"/><Relationship Id="rId428" Type="http://schemas.openxmlformats.org/officeDocument/2006/relationships/image" Target="media/image410.png"/><Relationship Id="rId430" Type="http://schemas.openxmlformats.org/officeDocument/2006/relationships/image" Target="media/image411.png"/><Relationship Id="rId431" Type="http://schemas.openxmlformats.org/officeDocument/2006/relationships/image" Target="media/image412.png"/><Relationship Id="rId433" Type="http://schemas.openxmlformats.org/officeDocument/2006/relationships/image" Target="media/image413.png"/><Relationship Id="rId434" Type="http://schemas.openxmlformats.org/officeDocument/2006/relationships/image" Target="media/image414.png"/><Relationship Id="rId435" Type="http://schemas.openxmlformats.org/officeDocument/2006/relationships/image" Target="media/image415.png"/><Relationship Id="rId437" Type="http://schemas.openxmlformats.org/officeDocument/2006/relationships/image" Target="media/image416.png"/><Relationship Id="rId439" Type="http://schemas.openxmlformats.org/officeDocument/2006/relationships/image" Target="media/image417.png"/><Relationship Id="rId440" Type="http://schemas.openxmlformats.org/officeDocument/2006/relationships/image" Target="media/image418.png"/><Relationship Id="rId442" Type="http://schemas.openxmlformats.org/officeDocument/2006/relationships/image" Target="media/image419.png"/><Relationship Id="rId443" Type="http://schemas.openxmlformats.org/officeDocument/2006/relationships/image" Target="media/image420.png"/><Relationship Id="rId445" Type="http://schemas.openxmlformats.org/officeDocument/2006/relationships/image" Target="media/image421.png"/><Relationship Id="rId446" Type="http://schemas.openxmlformats.org/officeDocument/2006/relationships/image" Target="media/image422.png"/><Relationship Id="rId448" Type="http://schemas.openxmlformats.org/officeDocument/2006/relationships/image" Target="media/image423.png"/><Relationship Id="rId449" Type="http://schemas.openxmlformats.org/officeDocument/2006/relationships/image" Target="media/image424.png"/><Relationship Id="rId450" Type="http://schemas.openxmlformats.org/officeDocument/2006/relationships/image" Target="media/image425.png"/><Relationship Id="rId451" Type="http://schemas.openxmlformats.org/officeDocument/2006/relationships/image" Target="media/image426.png"/><Relationship Id="rId453" Type="http://schemas.openxmlformats.org/officeDocument/2006/relationships/image" Target="media/image427.png"/><Relationship Id="rId454" Type="http://schemas.openxmlformats.org/officeDocument/2006/relationships/image" Target="media/image428.png"/><Relationship Id="rId455" Type="http://schemas.openxmlformats.org/officeDocument/2006/relationships/image" Target="media/image429.png"/><Relationship Id="rId457" Type="http://schemas.openxmlformats.org/officeDocument/2006/relationships/image" Target="media/image430.png"/><Relationship Id="rId458" Type="http://schemas.openxmlformats.org/officeDocument/2006/relationships/image" Target="media/image431.png"/><Relationship Id="rId460" Type="http://schemas.openxmlformats.org/officeDocument/2006/relationships/image" Target="media/image432.png"/><Relationship Id="rId461" Type="http://schemas.openxmlformats.org/officeDocument/2006/relationships/image" Target="media/image433.png"/><Relationship Id="rId466" Type="http://schemas.openxmlformats.org/officeDocument/2006/relationships/image" Target="media/image434.png"/><Relationship Id="rId467" Type="http://schemas.openxmlformats.org/officeDocument/2006/relationships/image" Target="media/image435.png"/><Relationship Id="rId468" Type="http://schemas.openxmlformats.org/officeDocument/2006/relationships/image" Target="media/image436.png"/><Relationship Id="rId469" Type="http://schemas.openxmlformats.org/officeDocument/2006/relationships/image" Target="media/image437.png"/><Relationship Id="rId471" Type="http://schemas.openxmlformats.org/officeDocument/2006/relationships/image" Target="media/image438.png"/><Relationship Id="rId472" Type="http://schemas.openxmlformats.org/officeDocument/2006/relationships/image" Target="media/image439.png"/><Relationship Id="rId473" Type="http://schemas.openxmlformats.org/officeDocument/2006/relationships/image" Target="media/image440.png"/><Relationship Id="rId474" Type="http://schemas.openxmlformats.org/officeDocument/2006/relationships/image" Target="media/image441.png"/><Relationship Id="rId475" Type="http://schemas.openxmlformats.org/officeDocument/2006/relationships/image" Target="media/image442.png"/><Relationship Id="rId476" Type="http://schemas.openxmlformats.org/officeDocument/2006/relationships/image" Target="media/image443.png"/><Relationship Id="rId477" Type="http://schemas.openxmlformats.org/officeDocument/2006/relationships/image" Target="media/image444.png"/><Relationship Id="rId478" Type="http://schemas.openxmlformats.org/officeDocument/2006/relationships/image" Target="media/image445.png"/><Relationship Id="rId479" Type="http://schemas.openxmlformats.org/officeDocument/2006/relationships/image" Target="media/image446.png"/><Relationship Id="rId480" Type="http://schemas.openxmlformats.org/officeDocument/2006/relationships/image" Target="media/image447.png"/><Relationship Id="rId481" Type="http://schemas.openxmlformats.org/officeDocument/2006/relationships/image" Target="media/image448.png"/><Relationship Id="rId482" Type="http://schemas.openxmlformats.org/officeDocument/2006/relationships/image" Target="media/image449.png"/><Relationship Id="rId483" Type="http://schemas.openxmlformats.org/officeDocument/2006/relationships/image" Target="media/image450.png"/><Relationship Id="rId484" Type="http://schemas.openxmlformats.org/officeDocument/2006/relationships/image" Target="media/image451.png"/><Relationship Id="rId485" Type="http://schemas.openxmlformats.org/officeDocument/2006/relationships/image" Target="media/image452.png"/><Relationship Id="rId486" Type="http://schemas.openxmlformats.org/officeDocument/2006/relationships/image" Target="media/image453.png"/><Relationship Id="rId487" Type="http://schemas.openxmlformats.org/officeDocument/2006/relationships/image" Target="media/image454.png"/><Relationship Id="rId488" Type="http://schemas.openxmlformats.org/officeDocument/2006/relationships/image" Target="media/image455.png"/><Relationship Id="rId489" Type="http://schemas.openxmlformats.org/officeDocument/2006/relationships/image" Target="media/image456.png"/><Relationship Id="rId490" Type="http://schemas.openxmlformats.org/officeDocument/2006/relationships/image" Target="media/image457.png"/><Relationship Id="rId491" Type="http://schemas.openxmlformats.org/officeDocument/2006/relationships/image" Target="media/image458.png"/><Relationship Id="rId492" Type="http://schemas.openxmlformats.org/officeDocument/2006/relationships/image" Target="media/image459.png"/><Relationship Id="rId493" Type="http://schemas.openxmlformats.org/officeDocument/2006/relationships/image" Target="media/image460.png"/><Relationship Id="rId494" Type="http://schemas.openxmlformats.org/officeDocument/2006/relationships/image" Target="media/image461.png"/><Relationship Id="rId495" Type="http://schemas.openxmlformats.org/officeDocument/2006/relationships/image" Target="media/image462.png"/><Relationship Id="rId496" Type="http://schemas.openxmlformats.org/officeDocument/2006/relationships/image" Target="media/image463.png"/><Relationship Id="rId497" Type="http://schemas.openxmlformats.org/officeDocument/2006/relationships/image" Target="media/image464.png"/><Relationship Id="rId498" Type="http://schemas.openxmlformats.org/officeDocument/2006/relationships/image" Target="media/image465.png"/><Relationship Id="rId499" Type="http://schemas.openxmlformats.org/officeDocument/2006/relationships/image" Target="media/image466.png"/><Relationship Id="rId500" Type="http://schemas.openxmlformats.org/officeDocument/2006/relationships/image" Target="media/image467.png"/><Relationship Id="rId501" Type="http://schemas.openxmlformats.org/officeDocument/2006/relationships/image" Target="media/image468.png"/><Relationship Id="rId502" Type="http://schemas.openxmlformats.org/officeDocument/2006/relationships/image" Target="media/image469.png"/><Relationship Id="rId503" Type="http://schemas.openxmlformats.org/officeDocument/2006/relationships/image" Target="media/image470.png"/><Relationship Id="rId504" Type="http://schemas.openxmlformats.org/officeDocument/2006/relationships/image" Target="media/image471.png"/><Relationship Id="rId505" Type="http://schemas.openxmlformats.org/officeDocument/2006/relationships/image" Target="media/image472.png"/><Relationship Id="rId506" Type="http://schemas.openxmlformats.org/officeDocument/2006/relationships/image" Target="media/image473.png"/><Relationship Id="rId507" Type="http://schemas.openxmlformats.org/officeDocument/2006/relationships/image" Target="media/image474.png"/><Relationship Id="rId508" Type="http://schemas.openxmlformats.org/officeDocument/2006/relationships/image" Target="media/image475.png"/><Relationship Id="rId509" Type="http://schemas.openxmlformats.org/officeDocument/2006/relationships/image" Target="media/image476.png"/><Relationship Id="rId510" Type="http://schemas.openxmlformats.org/officeDocument/2006/relationships/image" Target="media/image477.png"/><Relationship Id="rId511" Type="http://schemas.openxmlformats.org/officeDocument/2006/relationships/image" Target="media/image478.png"/><Relationship Id="rId512" Type="http://schemas.openxmlformats.org/officeDocument/2006/relationships/image" Target="media/image479.png"/><Relationship Id="rId513" Type="http://schemas.openxmlformats.org/officeDocument/2006/relationships/image" Target="media/image480.png"/><Relationship Id="rId514" Type="http://schemas.openxmlformats.org/officeDocument/2006/relationships/image" Target="media/image481.png"/><Relationship Id="rId515" Type="http://schemas.openxmlformats.org/officeDocument/2006/relationships/image" Target="media/image482.png"/><Relationship Id="rId516" Type="http://schemas.openxmlformats.org/officeDocument/2006/relationships/image" Target="media/image483.png"/><Relationship Id="rId517" Type="http://schemas.openxmlformats.org/officeDocument/2006/relationships/image" Target="media/image484.png"/><Relationship Id="rId518" Type="http://schemas.openxmlformats.org/officeDocument/2006/relationships/image" Target="media/image485.png"/><Relationship Id="rId519" Type="http://schemas.openxmlformats.org/officeDocument/2006/relationships/image" Target="media/image486.png"/><Relationship Id="rId520" Type="http://schemas.openxmlformats.org/officeDocument/2006/relationships/image" Target="media/image487.png"/><Relationship Id="rId521" Type="http://schemas.openxmlformats.org/officeDocument/2006/relationships/image" Target="media/image488.png"/><Relationship Id="rId522" Type="http://schemas.openxmlformats.org/officeDocument/2006/relationships/image" Target="media/image489.png"/><Relationship Id="rId523" Type="http://schemas.openxmlformats.org/officeDocument/2006/relationships/image" Target="media/image490.png"/><Relationship Id="rId524" Type="http://schemas.openxmlformats.org/officeDocument/2006/relationships/image" Target="media/image491.png"/><Relationship Id="rId525" Type="http://schemas.openxmlformats.org/officeDocument/2006/relationships/image" Target="media/image492.png"/><Relationship Id="rId526" Type="http://schemas.openxmlformats.org/officeDocument/2006/relationships/image" Target="media/image493.png"/><Relationship Id="rId527" Type="http://schemas.openxmlformats.org/officeDocument/2006/relationships/image" Target="media/image494.png"/><Relationship Id="rId528" Type="http://schemas.openxmlformats.org/officeDocument/2006/relationships/image" Target="media/image495.png"/><Relationship Id="rId529" Type="http://schemas.openxmlformats.org/officeDocument/2006/relationships/image" Target="media/image496.png"/><Relationship Id="rId530" Type="http://schemas.openxmlformats.org/officeDocument/2006/relationships/image" Target="media/image497.png"/><Relationship Id="rId531" Type="http://schemas.openxmlformats.org/officeDocument/2006/relationships/image" Target="media/image498.png"/><Relationship Id="rId532" Type="http://schemas.openxmlformats.org/officeDocument/2006/relationships/image" Target="media/image499.png"/><Relationship Id="rId533" Type="http://schemas.openxmlformats.org/officeDocument/2006/relationships/image" Target="media/image500.png"/><Relationship Id="rId534" Type="http://schemas.openxmlformats.org/officeDocument/2006/relationships/image" Target="media/image501.png"/><Relationship Id="rId535" Type="http://schemas.openxmlformats.org/officeDocument/2006/relationships/image" Target="media/image502.png"/><Relationship Id="rId536" Type="http://schemas.openxmlformats.org/officeDocument/2006/relationships/image" Target="media/image503.png"/><Relationship Id="rId537" Type="http://schemas.openxmlformats.org/officeDocument/2006/relationships/image" Target="media/image504.png"/><Relationship Id="rId538" Type="http://schemas.openxmlformats.org/officeDocument/2006/relationships/image" Target="media/image505.png"/><Relationship Id="rId539" Type="http://schemas.openxmlformats.org/officeDocument/2006/relationships/image" Target="media/image506.png"/><Relationship Id="rId540" Type="http://schemas.openxmlformats.org/officeDocument/2006/relationships/image" Target="media/image507.png"/><Relationship Id="rId541" Type="http://schemas.openxmlformats.org/officeDocument/2006/relationships/image" Target="media/image508.png"/><Relationship Id="rId542" Type="http://schemas.openxmlformats.org/officeDocument/2006/relationships/image" Target="media/image509.png"/><Relationship Id="rId543" Type="http://schemas.openxmlformats.org/officeDocument/2006/relationships/image" Target="media/image510.png"/><Relationship Id="rId544" Type="http://schemas.openxmlformats.org/officeDocument/2006/relationships/image" Target="media/image511.png"/><Relationship Id="rId545" Type="http://schemas.openxmlformats.org/officeDocument/2006/relationships/image" Target="media/image512.png"/><Relationship Id="rId546" Type="http://schemas.openxmlformats.org/officeDocument/2006/relationships/image" Target="media/image513.png"/><Relationship Id="rId547" Type="http://schemas.openxmlformats.org/officeDocument/2006/relationships/image" Target="media/image514.png"/><Relationship Id="rId548" Type="http://schemas.openxmlformats.org/officeDocument/2006/relationships/image" Target="media/image515.png"/><Relationship Id="rId549" Type="http://schemas.openxmlformats.org/officeDocument/2006/relationships/image" Target="media/image516.png"/><Relationship Id="rId550" Type="http://schemas.openxmlformats.org/officeDocument/2006/relationships/image" Target="media/image517.png"/><Relationship Id="rId551" Type="http://schemas.openxmlformats.org/officeDocument/2006/relationships/image" Target="media/image518.png"/><Relationship Id="rId552" Type="http://schemas.openxmlformats.org/officeDocument/2006/relationships/image" Target="media/image519.png"/><Relationship Id="rId553" Type="http://schemas.openxmlformats.org/officeDocument/2006/relationships/image" Target="media/image520.png"/><Relationship Id="rId554" Type="http://schemas.openxmlformats.org/officeDocument/2006/relationships/image" Target="media/image521.png"/><Relationship Id="rId555" Type="http://schemas.openxmlformats.org/officeDocument/2006/relationships/image" Target="media/image522.png"/><Relationship Id="rId556" Type="http://schemas.openxmlformats.org/officeDocument/2006/relationships/image" Target="media/image523.png"/><Relationship Id="rId557" Type="http://schemas.openxmlformats.org/officeDocument/2006/relationships/image" Target="media/image524.png"/><Relationship Id="rId558" Type="http://schemas.openxmlformats.org/officeDocument/2006/relationships/image" Target="media/image525.png"/><Relationship Id="rId559" Type="http://schemas.openxmlformats.org/officeDocument/2006/relationships/image" Target="media/image526.png"/><Relationship Id="rId560" Type="http://schemas.openxmlformats.org/officeDocument/2006/relationships/image" Target="media/image527.png"/><Relationship Id="rId561" Type="http://schemas.openxmlformats.org/officeDocument/2006/relationships/image" Target="media/image528.png"/><Relationship Id="rId562" Type="http://schemas.openxmlformats.org/officeDocument/2006/relationships/image" Target="media/image529.png"/><Relationship Id="rId563" Type="http://schemas.openxmlformats.org/officeDocument/2006/relationships/image" Target="media/image530.png"/><Relationship Id="rId564" Type="http://schemas.openxmlformats.org/officeDocument/2006/relationships/image" Target="media/image531.png"/><Relationship Id="rId565" Type="http://schemas.openxmlformats.org/officeDocument/2006/relationships/image" Target="media/image532.png"/><Relationship Id="rId566" Type="http://schemas.openxmlformats.org/officeDocument/2006/relationships/image" Target="media/image533.png"/><Relationship Id="rId567" Type="http://schemas.openxmlformats.org/officeDocument/2006/relationships/image" Target="media/image534.png"/><Relationship Id="rId568" Type="http://schemas.openxmlformats.org/officeDocument/2006/relationships/image" Target="media/image535.png"/><Relationship Id="rId569" Type="http://schemas.openxmlformats.org/officeDocument/2006/relationships/image" Target="media/image536.png"/><Relationship Id="rId570" Type="http://schemas.openxmlformats.org/officeDocument/2006/relationships/image" Target="media/image537.png"/><Relationship Id="rId571" Type="http://schemas.openxmlformats.org/officeDocument/2006/relationships/image" Target="media/image538.png"/><Relationship Id="rId572" Type="http://schemas.openxmlformats.org/officeDocument/2006/relationships/image" Target="media/image539.png"/><Relationship Id="rId573" Type="http://schemas.openxmlformats.org/officeDocument/2006/relationships/image" Target="media/image540.png"/><Relationship Id="rId574" Type="http://schemas.openxmlformats.org/officeDocument/2006/relationships/image" Target="media/image541.png"/><Relationship Id="rId575" Type="http://schemas.openxmlformats.org/officeDocument/2006/relationships/image" Target="media/image542.png"/><Relationship Id="rId576" Type="http://schemas.openxmlformats.org/officeDocument/2006/relationships/image" Target="media/image543.png"/><Relationship Id="rId577" Type="http://schemas.openxmlformats.org/officeDocument/2006/relationships/image" Target="media/image544.png"/><Relationship Id="rId578" Type="http://schemas.openxmlformats.org/officeDocument/2006/relationships/image" Target="media/image545.png"/><Relationship Id="rId579" Type="http://schemas.openxmlformats.org/officeDocument/2006/relationships/image" Target="media/image546.png"/><Relationship Id="rId580" Type="http://schemas.openxmlformats.org/officeDocument/2006/relationships/image" Target="media/image547.png"/><Relationship Id="rId581" Type="http://schemas.openxmlformats.org/officeDocument/2006/relationships/image" Target="media/image548.png"/><Relationship Id="rId582" Type="http://schemas.openxmlformats.org/officeDocument/2006/relationships/image" Target="media/image549.png"/><Relationship Id="rId583" Type="http://schemas.openxmlformats.org/officeDocument/2006/relationships/image" Target="media/image550.png"/><Relationship Id="rId584" Type="http://schemas.openxmlformats.org/officeDocument/2006/relationships/image" Target="media/image551.png"/><Relationship Id="rId585" Type="http://schemas.openxmlformats.org/officeDocument/2006/relationships/image" Target="media/image552.png"/><Relationship Id="rId586" Type="http://schemas.openxmlformats.org/officeDocument/2006/relationships/image" Target="media/image553.png"/><Relationship Id="rId587" Type="http://schemas.openxmlformats.org/officeDocument/2006/relationships/image" Target="media/image554.png"/><Relationship Id="rId588" Type="http://schemas.openxmlformats.org/officeDocument/2006/relationships/image" Target="media/image555.png"/><Relationship Id="rId589" Type="http://schemas.openxmlformats.org/officeDocument/2006/relationships/image" Target="media/image556.png"/><Relationship Id="rId590" Type="http://schemas.openxmlformats.org/officeDocument/2006/relationships/image" Target="media/image557.png"/><Relationship Id="rId591" Type="http://schemas.openxmlformats.org/officeDocument/2006/relationships/image" Target="media/image558.png"/><Relationship Id="rId592" Type="http://schemas.openxmlformats.org/officeDocument/2006/relationships/image" Target="media/image559.png"/><Relationship Id="rId593" Type="http://schemas.openxmlformats.org/officeDocument/2006/relationships/image" Target="media/image560.png"/><Relationship Id="rId594" Type="http://schemas.openxmlformats.org/officeDocument/2006/relationships/image" Target="media/image561.png"/><Relationship Id="rId595" Type="http://schemas.openxmlformats.org/officeDocument/2006/relationships/image" Target="media/image562.png"/><Relationship Id="rId596" Type="http://schemas.openxmlformats.org/officeDocument/2006/relationships/image" Target="media/image563.png"/><Relationship Id="rId597" Type="http://schemas.openxmlformats.org/officeDocument/2006/relationships/image" Target="media/image564.png"/><Relationship Id="rId598" Type="http://schemas.openxmlformats.org/officeDocument/2006/relationships/image" Target="media/image565.png"/><Relationship Id="rId599" Type="http://schemas.openxmlformats.org/officeDocument/2006/relationships/image" Target="media/image566.png"/><Relationship Id="rId600" Type="http://schemas.openxmlformats.org/officeDocument/2006/relationships/image" Target="media/image567.png"/><Relationship Id="rId601" Type="http://schemas.openxmlformats.org/officeDocument/2006/relationships/image" Target="media/image568.png"/><Relationship Id="rId602" Type="http://schemas.openxmlformats.org/officeDocument/2006/relationships/image" Target="media/image569.png"/><Relationship Id="rId603" Type="http://schemas.openxmlformats.org/officeDocument/2006/relationships/image" Target="media/image570.png"/><Relationship Id="rId604" Type="http://schemas.openxmlformats.org/officeDocument/2006/relationships/image" Target="media/image571.png"/><Relationship Id="rId605" Type="http://schemas.openxmlformats.org/officeDocument/2006/relationships/image" Target="media/image572.png"/><Relationship Id="rId606" Type="http://schemas.openxmlformats.org/officeDocument/2006/relationships/image" Target="media/image573.png"/><Relationship Id="rId607" Type="http://schemas.openxmlformats.org/officeDocument/2006/relationships/image" Target="media/image574.png"/><Relationship Id="rId608" Type="http://schemas.openxmlformats.org/officeDocument/2006/relationships/image" Target="media/image575.png"/><Relationship Id="rId609" Type="http://schemas.openxmlformats.org/officeDocument/2006/relationships/image" Target="media/image576.png"/><Relationship Id="rId610" Type="http://schemas.openxmlformats.org/officeDocument/2006/relationships/image" Target="media/image577.png"/><Relationship Id="rId611" Type="http://schemas.openxmlformats.org/officeDocument/2006/relationships/image" Target="media/image578.png"/><Relationship Id="rId612" Type="http://schemas.openxmlformats.org/officeDocument/2006/relationships/image" Target="media/image579.png"/><Relationship Id="rId613" Type="http://schemas.openxmlformats.org/officeDocument/2006/relationships/image" Target="media/image580.png"/><Relationship Id="rId614" Type="http://schemas.openxmlformats.org/officeDocument/2006/relationships/image" Target="media/image581.png"/><Relationship Id="rId615" Type="http://schemas.openxmlformats.org/officeDocument/2006/relationships/image" Target="media/image582.png"/><Relationship Id="rId616" Type="http://schemas.openxmlformats.org/officeDocument/2006/relationships/image" Target="media/image583.png"/><Relationship Id="rId617" Type="http://schemas.openxmlformats.org/officeDocument/2006/relationships/image" Target="media/image584.png"/><Relationship Id="rId618" Type="http://schemas.openxmlformats.org/officeDocument/2006/relationships/image" Target="media/image585.png"/><Relationship Id="rId619" Type="http://schemas.openxmlformats.org/officeDocument/2006/relationships/image" Target="media/image586.png"/><Relationship Id="rId620" Type="http://schemas.openxmlformats.org/officeDocument/2006/relationships/image" Target="media/image587.png"/><Relationship Id="rId621" Type="http://schemas.openxmlformats.org/officeDocument/2006/relationships/image" Target="media/image588.png"/><Relationship Id="rId622" Type="http://schemas.openxmlformats.org/officeDocument/2006/relationships/image" Target="media/image589.png"/><Relationship Id="rId623" Type="http://schemas.openxmlformats.org/officeDocument/2006/relationships/image" Target="media/image590.png"/><Relationship Id="rId624" Type="http://schemas.openxmlformats.org/officeDocument/2006/relationships/image" Target="media/image591.png"/><Relationship Id="rId625" Type="http://schemas.openxmlformats.org/officeDocument/2006/relationships/image" Target="media/image592.png"/><Relationship Id="rId626" Type="http://schemas.openxmlformats.org/officeDocument/2006/relationships/image" Target="media/image593.png"/><Relationship Id="rId627" Type="http://schemas.openxmlformats.org/officeDocument/2006/relationships/image" Target="media/image594.png"/><Relationship Id="rId628" Type="http://schemas.openxmlformats.org/officeDocument/2006/relationships/image" Target="media/image595.png"/><Relationship Id="rId629" Type="http://schemas.openxmlformats.org/officeDocument/2006/relationships/image" Target="media/image596.png"/><Relationship Id="rId630" Type="http://schemas.openxmlformats.org/officeDocument/2006/relationships/image" Target="media/image597.png"/><Relationship Id="rId631" Type="http://schemas.openxmlformats.org/officeDocument/2006/relationships/image" Target="media/image598.png"/><Relationship Id="rId632" Type="http://schemas.openxmlformats.org/officeDocument/2006/relationships/image" Target="media/image599.png"/><Relationship Id="rId633" Type="http://schemas.openxmlformats.org/officeDocument/2006/relationships/image" Target="media/image600.png"/><Relationship Id="rId634" Type="http://schemas.openxmlformats.org/officeDocument/2006/relationships/image" Target="media/image601.png"/><Relationship Id="rId635" Type="http://schemas.openxmlformats.org/officeDocument/2006/relationships/image" Target="media/image602.png"/><Relationship Id="rId636" Type="http://schemas.openxmlformats.org/officeDocument/2006/relationships/image" Target="media/image603.png"/><Relationship Id="rId637" Type="http://schemas.openxmlformats.org/officeDocument/2006/relationships/image" Target="media/image604.png"/><Relationship Id="rId638" Type="http://schemas.openxmlformats.org/officeDocument/2006/relationships/image" Target="media/image605.png"/><Relationship Id="rId639" Type="http://schemas.openxmlformats.org/officeDocument/2006/relationships/image" Target="media/image606.png"/><Relationship Id="rId640" Type="http://schemas.openxmlformats.org/officeDocument/2006/relationships/image" Target="media/image607.png"/><Relationship Id="rId641" Type="http://schemas.openxmlformats.org/officeDocument/2006/relationships/image" Target="media/image608.png"/><Relationship Id="rId642" Type="http://schemas.openxmlformats.org/officeDocument/2006/relationships/image" Target="media/image609.png"/><Relationship Id="rId643" Type="http://schemas.openxmlformats.org/officeDocument/2006/relationships/image" Target="media/image610.png"/><Relationship Id="rId644" Type="http://schemas.openxmlformats.org/officeDocument/2006/relationships/image" Target="media/image611.png"/><Relationship Id="rId645" Type="http://schemas.openxmlformats.org/officeDocument/2006/relationships/image" Target="media/image612.png"/><Relationship Id="rId646" Type="http://schemas.openxmlformats.org/officeDocument/2006/relationships/image" Target="media/image613.png"/><Relationship Id="rId647" Type="http://schemas.openxmlformats.org/officeDocument/2006/relationships/image" Target="media/image614.png"/><Relationship Id="rId648" Type="http://schemas.openxmlformats.org/officeDocument/2006/relationships/image" Target="media/image615.png"/><Relationship Id="rId649" Type="http://schemas.openxmlformats.org/officeDocument/2006/relationships/image" Target="media/image616.png"/><Relationship Id="rId650" Type="http://schemas.openxmlformats.org/officeDocument/2006/relationships/image" Target="media/image617.png"/><Relationship Id="rId651" Type="http://schemas.openxmlformats.org/officeDocument/2006/relationships/image" Target="media/image618.png"/><Relationship Id="rId652" Type="http://schemas.openxmlformats.org/officeDocument/2006/relationships/image" Target="media/image619.png"/><Relationship Id="rId653" Type="http://schemas.openxmlformats.org/officeDocument/2006/relationships/image" Target="media/image620.png"/><Relationship Id="rId654" Type="http://schemas.openxmlformats.org/officeDocument/2006/relationships/image" Target="media/image621.png"/><Relationship Id="rId655" Type="http://schemas.openxmlformats.org/officeDocument/2006/relationships/image" Target="media/image622.png"/><Relationship Id="rId656" Type="http://schemas.openxmlformats.org/officeDocument/2006/relationships/image" Target="media/image623.png"/><Relationship Id="rId657" Type="http://schemas.openxmlformats.org/officeDocument/2006/relationships/image" Target="media/image624.png"/><Relationship Id="rId658" Type="http://schemas.openxmlformats.org/officeDocument/2006/relationships/image" Target="media/image625.png"/><Relationship Id="rId659" Type="http://schemas.openxmlformats.org/officeDocument/2006/relationships/image" Target="media/image626.png"/><Relationship Id="rId660" Type="http://schemas.openxmlformats.org/officeDocument/2006/relationships/image" Target="media/image627.png"/><Relationship Id="rId661" Type="http://schemas.openxmlformats.org/officeDocument/2006/relationships/image" Target="media/image628.png"/><Relationship Id="rId662" Type="http://schemas.openxmlformats.org/officeDocument/2006/relationships/image" Target="media/image629.png"/><Relationship Id="rId663" Type="http://schemas.openxmlformats.org/officeDocument/2006/relationships/image" Target="media/image630.png"/><Relationship Id="rId664" Type="http://schemas.openxmlformats.org/officeDocument/2006/relationships/image" Target="media/image631.png"/><Relationship Id="rId665" Type="http://schemas.openxmlformats.org/officeDocument/2006/relationships/image" Target="media/image632.png"/><Relationship Id="rId666" Type="http://schemas.openxmlformats.org/officeDocument/2006/relationships/image" Target="media/image633.png"/><Relationship Id="rId667" Type="http://schemas.openxmlformats.org/officeDocument/2006/relationships/image" Target="media/image634.png"/><Relationship Id="rId668" Type="http://schemas.openxmlformats.org/officeDocument/2006/relationships/image" Target="media/image635.png"/><Relationship Id="rId669" Type="http://schemas.openxmlformats.org/officeDocument/2006/relationships/image" Target="media/image636.png"/><Relationship Id="rId670" Type="http://schemas.openxmlformats.org/officeDocument/2006/relationships/image" Target="media/image637.png"/><Relationship Id="rId671" Type="http://schemas.openxmlformats.org/officeDocument/2006/relationships/image" Target="media/image638.png"/><Relationship Id="rId672" Type="http://schemas.openxmlformats.org/officeDocument/2006/relationships/image" Target="media/image639.png"/><Relationship Id="rId673" Type="http://schemas.openxmlformats.org/officeDocument/2006/relationships/image" Target="media/image640.png"/><Relationship Id="rId674" Type="http://schemas.openxmlformats.org/officeDocument/2006/relationships/image" Target="media/image641.png"/><Relationship Id="rId675" Type="http://schemas.openxmlformats.org/officeDocument/2006/relationships/image" Target="media/image642.png"/><Relationship Id="rId676" Type="http://schemas.openxmlformats.org/officeDocument/2006/relationships/image" Target="media/image643.png"/><Relationship Id="rId677" Type="http://schemas.openxmlformats.org/officeDocument/2006/relationships/image" Target="media/image644.png"/><Relationship Id="rId678" Type="http://schemas.openxmlformats.org/officeDocument/2006/relationships/image" Target="media/image645.png"/><Relationship Id="rId679" Type="http://schemas.openxmlformats.org/officeDocument/2006/relationships/image" Target="media/image646.png"/><Relationship Id="rId680" Type="http://schemas.openxmlformats.org/officeDocument/2006/relationships/image" Target="media/image647.png"/><Relationship Id="rId681" Type="http://schemas.openxmlformats.org/officeDocument/2006/relationships/image" Target="media/image648.png"/><Relationship Id="rId682" Type="http://schemas.openxmlformats.org/officeDocument/2006/relationships/image" Target="media/image649.png"/><Relationship Id="rId683" Type="http://schemas.openxmlformats.org/officeDocument/2006/relationships/image" Target="media/image650.png"/><Relationship Id="rId684" Type="http://schemas.openxmlformats.org/officeDocument/2006/relationships/image" Target="media/image651.png"/><Relationship Id="rId685" Type="http://schemas.openxmlformats.org/officeDocument/2006/relationships/image" Target="media/image652.png"/><Relationship Id="rId686" Type="http://schemas.openxmlformats.org/officeDocument/2006/relationships/image" Target="media/image653.png"/><Relationship Id="rId687" Type="http://schemas.openxmlformats.org/officeDocument/2006/relationships/image" Target="media/image654.png"/><Relationship Id="rId688" Type="http://schemas.openxmlformats.org/officeDocument/2006/relationships/image" Target="media/image655.png"/><Relationship Id="rId689" Type="http://schemas.openxmlformats.org/officeDocument/2006/relationships/image" Target="media/image656.png"/><Relationship Id="rId690" Type="http://schemas.openxmlformats.org/officeDocument/2006/relationships/image" Target="media/image657.png"/><Relationship Id="rId691" Type="http://schemas.openxmlformats.org/officeDocument/2006/relationships/image" Target="media/image658.png"/><Relationship Id="rId692" Type="http://schemas.openxmlformats.org/officeDocument/2006/relationships/image" Target="media/image659.png"/><Relationship Id="rId693" Type="http://schemas.openxmlformats.org/officeDocument/2006/relationships/image" Target="media/image660.png"/><Relationship Id="rId694" Type="http://schemas.openxmlformats.org/officeDocument/2006/relationships/image" Target="media/image661.png"/><Relationship Id="rId695" Type="http://schemas.openxmlformats.org/officeDocument/2006/relationships/image" Target="media/image662.png"/><Relationship Id="rId696" Type="http://schemas.openxmlformats.org/officeDocument/2006/relationships/image" Target="media/image663.png"/><Relationship Id="rId697" Type="http://schemas.openxmlformats.org/officeDocument/2006/relationships/image" Target="media/image664.png"/><Relationship Id="rId698" Type="http://schemas.openxmlformats.org/officeDocument/2006/relationships/image" Target="media/image665.png"/><Relationship Id="rId699" Type="http://schemas.openxmlformats.org/officeDocument/2006/relationships/image" Target="media/image666.png"/><Relationship Id="rId700" Type="http://schemas.openxmlformats.org/officeDocument/2006/relationships/image" Target="media/image667.png"/><Relationship Id="rId701" Type="http://schemas.openxmlformats.org/officeDocument/2006/relationships/image" Target="media/image668.png"/><Relationship Id="rId702" Type="http://schemas.openxmlformats.org/officeDocument/2006/relationships/image" Target="media/image669.png"/><Relationship Id="rId703" Type="http://schemas.openxmlformats.org/officeDocument/2006/relationships/image" Target="media/image670.png"/><Relationship Id="rId704" Type="http://schemas.openxmlformats.org/officeDocument/2006/relationships/image" Target="media/image671.png"/><Relationship Id="rId705" Type="http://schemas.openxmlformats.org/officeDocument/2006/relationships/image" Target="media/image672.png"/><Relationship Id="rId706" Type="http://schemas.openxmlformats.org/officeDocument/2006/relationships/image" Target="media/image673.png"/><Relationship Id="rId707" Type="http://schemas.openxmlformats.org/officeDocument/2006/relationships/image" Target="media/image674.png"/><Relationship Id="rId708" Type="http://schemas.openxmlformats.org/officeDocument/2006/relationships/image" Target="media/image675.png"/><Relationship Id="rId709" Type="http://schemas.openxmlformats.org/officeDocument/2006/relationships/image" Target="media/image676.png"/><Relationship Id="rId710" Type="http://schemas.openxmlformats.org/officeDocument/2006/relationships/image" Target="media/image677.png"/><Relationship Id="rId711" Type="http://schemas.openxmlformats.org/officeDocument/2006/relationships/image" Target="media/image678.png"/><Relationship Id="rId712" Type="http://schemas.openxmlformats.org/officeDocument/2006/relationships/image" Target="media/image679.png"/><Relationship Id="rId713" Type="http://schemas.openxmlformats.org/officeDocument/2006/relationships/image" Target="media/image680.png"/><Relationship Id="rId714" Type="http://schemas.openxmlformats.org/officeDocument/2006/relationships/image" Target="media/image681.png"/><Relationship Id="rId715" Type="http://schemas.openxmlformats.org/officeDocument/2006/relationships/image" Target="media/image682.png"/><Relationship Id="rId716" Type="http://schemas.openxmlformats.org/officeDocument/2006/relationships/image" Target="media/image683.png"/><Relationship Id="rId717" Type="http://schemas.openxmlformats.org/officeDocument/2006/relationships/image" Target="media/image684.png"/><Relationship Id="rId718" Type="http://schemas.openxmlformats.org/officeDocument/2006/relationships/image" Target="media/image685.png"/><Relationship Id="rId719" Type="http://schemas.openxmlformats.org/officeDocument/2006/relationships/image" Target="media/image686.png"/><Relationship Id="rId720" Type="http://schemas.openxmlformats.org/officeDocument/2006/relationships/image" Target="media/image687.png"/><Relationship Id="rId721" Type="http://schemas.openxmlformats.org/officeDocument/2006/relationships/image" Target="media/image688.png"/><Relationship Id="rId722" Type="http://schemas.openxmlformats.org/officeDocument/2006/relationships/image" Target="media/image689.png"/><Relationship Id="rId723" Type="http://schemas.openxmlformats.org/officeDocument/2006/relationships/image" Target="media/image690.png"/><Relationship Id="rId724" Type="http://schemas.openxmlformats.org/officeDocument/2006/relationships/image" Target="media/image691.png"/><Relationship Id="rId725" Type="http://schemas.openxmlformats.org/officeDocument/2006/relationships/image" Target="media/image692.png"/><Relationship Id="rId726" Type="http://schemas.openxmlformats.org/officeDocument/2006/relationships/image" Target="media/image693.png"/><Relationship Id="rId727" Type="http://schemas.openxmlformats.org/officeDocument/2006/relationships/image" Target="media/image694.png"/><Relationship Id="rId728" Type="http://schemas.openxmlformats.org/officeDocument/2006/relationships/image" Target="media/image695.png"/><Relationship Id="rId729" Type="http://schemas.openxmlformats.org/officeDocument/2006/relationships/image" Target="media/image696.png"/><Relationship Id="rId730" Type="http://schemas.openxmlformats.org/officeDocument/2006/relationships/image" Target="media/image697.png"/><Relationship Id="rId731" Type="http://schemas.openxmlformats.org/officeDocument/2006/relationships/image" Target="media/image698.png"/><Relationship Id="rId732" Type="http://schemas.openxmlformats.org/officeDocument/2006/relationships/image" Target="media/image699.png"/><Relationship Id="rId733" Type="http://schemas.openxmlformats.org/officeDocument/2006/relationships/image" Target="media/image700.png"/><Relationship Id="rId734" Type="http://schemas.openxmlformats.org/officeDocument/2006/relationships/image" Target="media/image701.png"/><Relationship Id="rId735" Type="http://schemas.openxmlformats.org/officeDocument/2006/relationships/image" Target="media/image702.png"/><Relationship Id="rId736" Type="http://schemas.openxmlformats.org/officeDocument/2006/relationships/image" Target="media/image703.png"/><Relationship Id="rId737" Type="http://schemas.openxmlformats.org/officeDocument/2006/relationships/image" Target="media/image704.png"/><Relationship Id="rId738" Type="http://schemas.openxmlformats.org/officeDocument/2006/relationships/image" Target="media/image705.png"/><Relationship Id="rId739" Type="http://schemas.openxmlformats.org/officeDocument/2006/relationships/image" Target="media/image706.png"/><Relationship Id="rId740" Type="http://schemas.openxmlformats.org/officeDocument/2006/relationships/image" Target="media/image707.png"/><Relationship Id="rId741" Type="http://schemas.openxmlformats.org/officeDocument/2006/relationships/image" Target="media/image708.png"/><Relationship Id="rId742" Type="http://schemas.openxmlformats.org/officeDocument/2006/relationships/image" Target="media/image709.png"/><Relationship Id="rId743" Type="http://schemas.openxmlformats.org/officeDocument/2006/relationships/image" Target="media/image710.png"/><Relationship Id="rId744" Type="http://schemas.openxmlformats.org/officeDocument/2006/relationships/image" Target="media/image711.png"/><Relationship Id="rId745" Type="http://schemas.openxmlformats.org/officeDocument/2006/relationships/image" Target="media/image712.png"/><Relationship Id="rId746" Type="http://schemas.openxmlformats.org/officeDocument/2006/relationships/image" Target="media/image713.png"/><Relationship Id="rId747" Type="http://schemas.openxmlformats.org/officeDocument/2006/relationships/image" Target="media/image714.png"/><Relationship Id="rId748" Type="http://schemas.openxmlformats.org/officeDocument/2006/relationships/image" Target="media/image715.png"/><Relationship Id="rId749" Type="http://schemas.openxmlformats.org/officeDocument/2006/relationships/image" Target="media/image716.png"/><Relationship Id="rId750" Type="http://schemas.openxmlformats.org/officeDocument/2006/relationships/image" Target="media/image717.png"/><Relationship Id="rId751" Type="http://schemas.openxmlformats.org/officeDocument/2006/relationships/image" Target="media/image718.png"/><Relationship Id="rId752" Type="http://schemas.openxmlformats.org/officeDocument/2006/relationships/image" Target="media/image719.png"/><Relationship Id="rId753" Type="http://schemas.openxmlformats.org/officeDocument/2006/relationships/image" Target="media/image720.png"/><Relationship Id="rId754" Type="http://schemas.openxmlformats.org/officeDocument/2006/relationships/image" Target="media/image721.png"/><Relationship Id="rId755" Type="http://schemas.openxmlformats.org/officeDocument/2006/relationships/image" Target="media/image722.png"/><Relationship Id="rId756" Type="http://schemas.openxmlformats.org/officeDocument/2006/relationships/image" Target="media/image723.png"/><Relationship Id="rId757" Type="http://schemas.openxmlformats.org/officeDocument/2006/relationships/image" Target="media/image724.png"/><Relationship Id="rId758" Type="http://schemas.openxmlformats.org/officeDocument/2006/relationships/image" Target="media/image725.png"/><Relationship Id="rId759" Type="http://schemas.openxmlformats.org/officeDocument/2006/relationships/image" Target="media/image726.png"/><Relationship Id="rId760" Type="http://schemas.openxmlformats.org/officeDocument/2006/relationships/image" Target="media/image727.png"/><Relationship Id="rId761" Type="http://schemas.openxmlformats.org/officeDocument/2006/relationships/image" Target="media/image728.png"/><Relationship Id="rId762" Type="http://schemas.openxmlformats.org/officeDocument/2006/relationships/image" Target="media/image729.png"/><Relationship Id="rId763" Type="http://schemas.openxmlformats.org/officeDocument/2006/relationships/image" Target="media/image730.png"/><Relationship Id="rId764" Type="http://schemas.openxmlformats.org/officeDocument/2006/relationships/image" Target="media/image731.png"/><Relationship Id="rId765" Type="http://schemas.openxmlformats.org/officeDocument/2006/relationships/image" Target="media/image732.png"/><Relationship Id="rId766" Type="http://schemas.openxmlformats.org/officeDocument/2006/relationships/image" Target="media/image733.png"/><Relationship Id="rId767" Type="http://schemas.openxmlformats.org/officeDocument/2006/relationships/image" Target="media/image734.png"/><Relationship Id="rId768" Type="http://schemas.openxmlformats.org/officeDocument/2006/relationships/image" Target="media/image735.png"/><Relationship Id="rId769" Type="http://schemas.openxmlformats.org/officeDocument/2006/relationships/image" Target="media/image736.png"/><Relationship Id="rId770" Type="http://schemas.openxmlformats.org/officeDocument/2006/relationships/image" Target="media/image737.png"/><Relationship Id="rId771" Type="http://schemas.openxmlformats.org/officeDocument/2006/relationships/image" Target="media/image738.png"/><Relationship Id="rId772" Type="http://schemas.openxmlformats.org/officeDocument/2006/relationships/image" Target="media/image739.png"/><Relationship Id="rId773" Type="http://schemas.openxmlformats.org/officeDocument/2006/relationships/image" Target="media/image740.png"/><Relationship Id="rId774" Type="http://schemas.openxmlformats.org/officeDocument/2006/relationships/image" Target="media/image741.png"/><Relationship Id="rId775" Type="http://schemas.openxmlformats.org/officeDocument/2006/relationships/image" Target="media/image742.png"/><Relationship Id="rId776" Type="http://schemas.openxmlformats.org/officeDocument/2006/relationships/image" Target="media/image743.png"/><Relationship Id="rId777" Type="http://schemas.openxmlformats.org/officeDocument/2006/relationships/image" Target="media/image744.png"/><Relationship Id="rId778" Type="http://schemas.openxmlformats.org/officeDocument/2006/relationships/image" Target="media/image745.png"/><Relationship Id="rId779" Type="http://schemas.openxmlformats.org/officeDocument/2006/relationships/image" Target="media/image746.png"/><Relationship Id="rId780" Type="http://schemas.openxmlformats.org/officeDocument/2006/relationships/image" Target="media/image747.png"/><Relationship Id="rId781" Type="http://schemas.openxmlformats.org/officeDocument/2006/relationships/image" Target="media/image748.png"/><Relationship Id="rId782" Type="http://schemas.openxmlformats.org/officeDocument/2006/relationships/image" Target="media/image749.png"/><Relationship Id="rId783" Type="http://schemas.openxmlformats.org/officeDocument/2006/relationships/image" Target="media/image750.png"/><Relationship Id="rId784" Type="http://schemas.openxmlformats.org/officeDocument/2006/relationships/image" Target="media/image751.png"/><Relationship Id="rId785" Type="http://schemas.openxmlformats.org/officeDocument/2006/relationships/image" Target="media/image752.png"/><Relationship Id="rId786" Type="http://schemas.openxmlformats.org/officeDocument/2006/relationships/image" Target="media/image753.png"/><Relationship Id="rId787" Type="http://schemas.openxmlformats.org/officeDocument/2006/relationships/image" Target="media/image754.png"/><Relationship Id="rId788" Type="http://schemas.openxmlformats.org/officeDocument/2006/relationships/image" Target="media/image755.png"/><Relationship Id="rId789" Type="http://schemas.openxmlformats.org/officeDocument/2006/relationships/image" Target="media/image756.png"/><Relationship Id="rId790" Type="http://schemas.openxmlformats.org/officeDocument/2006/relationships/image" Target="media/image757.png"/><Relationship Id="rId791" Type="http://schemas.openxmlformats.org/officeDocument/2006/relationships/image" Target="media/image758.png"/><Relationship Id="rId792" Type="http://schemas.openxmlformats.org/officeDocument/2006/relationships/image" Target="media/image759.png"/><Relationship Id="rId793" Type="http://schemas.openxmlformats.org/officeDocument/2006/relationships/image" Target="media/image760.png"/><Relationship Id="rId794" Type="http://schemas.openxmlformats.org/officeDocument/2006/relationships/image" Target="media/image761.png"/><Relationship Id="rId795" Type="http://schemas.openxmlformats.org/officeDocument/2006/relationships/image" Target="media/image762.png"/><Relationship Id="rId796" Type="http://schemas.openxmlformats.org/officeDocument/2006/relationships/image" Target="media/image763.png"/><Relationship Id="rId797" Type="http://schemas.openxmlformats.org/officeDocument/2006/relationships/image" Target="media/image764.png"/><Relationship Id="rId798" Type="http://schemas.openxmlformats.org/officeDocument/2006/relationships/image" Target="media/image765.png"/><Relationship Id="rId799" Type="http://schemas.openxmlformats.org/officeDocument/2006/relationships/image" Target="media/image766.png"/><Relationship Id="rId800" Type="http://schemas.openxmlformats.org/officeDocument/2006/relationships/image" Target="media/image767.png"/><Relationship Id="rId801" Type="http://schemas.openxmlformats.org/officeDocument/2006/relationships/image" Target="media/image768.png"/><Relationship Id="rId802" Type="http://schemas.openxmlformats.org/officeDocument/2006/relationships/image" Target="media/image769.png"/><Relationship Id="rId803" Type="http://schemas.openxmlformats.org/officeDocument/2006/relationships/image" Target="media/image770.png"/><Relationship Id="rId804" Type="http://schemas.openxmlformats.org/officeDocument/2006/relationships/image" Target="media/image771.png"/><Relationship Id="rId805" Type="http://schemas.openxmlformats.org/officeDocument/2006/relationships/image" Target="media/image772.png"/><Relationship Id="rId806" Type="http://schemas.openxmlformats.org/officeDocument/2006/relationships/image" Target="media/image773.png"/><Relationship Id="rId807" Type="http://schemas.openxmlformats.org/officeDocument/2006/relationships/image" Target="media/image774.png"/><Relationship Id="rId808" Type="http://schemas.openxmlformats.org/officeDocument/2006/relationships/image" Target="media/image775.png"/><Relationship Id="rId809" Type="http://schemas.openxmlformats.org/officeDocument/2006/relationships/image" Target="media/image776.png"/><Relationship Id="rId810" Type="http://schemas.openxmlformats.org/officeDocument/2006/relationships/image" Target="media/image777.png"/><Relationship Id="rId811" Type="http://schemas.openxmlformats.org/officeDocument/2006/relationships/image" Target="media/image778.png"/><Relationship Id="rId812" Type="http://schemas.openxmlformats.org/officeDocument/2006/relationships/image" Target="media/image779.png"/><Relationship Id="rId813" Type="http://schemas.openxmlformats.org/officeDocument/2006/relationships/image" Target="media/image780.png"/><Relationship Id="rId814" Type="http://schemas.openxmlformats.org/officeDocument/2006/relationships/image" Target="media/image781.png"/><Relationship Id="rId815" Type="http://schemas.openxmlformats.org/officeDocument/2006/relationships/image" Target="media/image782.png"/><Relationship Id="rId816" Type="http://schemas.openxmlformats.org/officeDocument/2006/relationships/image" Target="media/image783.png"/><Relationship Id="rId817" Type="http://schemas.openxmlformats.org/officeDocument/2006/relationships/image" Target="media/image784.png"/><Relationship Id="rId818" Type="http://schemas.openxmlformats.org/officeDocument/2006/relationships/image" Target="media/image785.png"/><Relationship Id="rId819" Type="http://schemas.openxmlformats.org/officeDocument/2006/relationships/image" Target="media/image786.png"/><Relationship Id="rId820" Type="http://schemas.openxmlformats.org/officeDocument/2006/relationships/image" Target="media/image787.png"/><Relationship Id="rId821" Type="http://schemas.openxmlformats.org/officeDocument/2006/relationships/image" Target="media/image788.png"/><Relationship Id="rId822" Type="http://schemas.openxmlformats.org/officeDocument/2006/relationships/image" Target="media/image789.png"/><Relationship Id="rId823" Type="http://schemas.openxmlformats.org/officeDocument/2006/relationships/image" Target="media/image790.png"/><Relationship Id="rId824" Type="http://schemas.openxmlformats.org/officeDocument/2006/relationships/image" Target="media/image791.png"/><Relationship Id="rId825" Type="http://schemas.openxmlformats.org/officeDocument/2006/relationships/image" Target="media/image792.png"/><Relationship Id="rId826" Type="http://schemas.openxmlformats.org/officeDocument/2006/relationships/image" Target="media/image793.png"/><Relationship Id="rId827" Type="http://schemas.openxmlformats.org/officeDocument/2006/relationships/image" Target="media/image794.png"/><Relationship Id="rId828" Type="http://schemas.openxmlformats.org/officeDocument/2006/relationships/image" Target="media/image795.png"/><Relationship Id="rId829" Type="http://schemas.openxmlformats.org/officeDocument/2006/relationships/image" Target="media/image796.png"/><Relationship Id="rId830" Type="http://schemas.openxmlformats.org/officeDocument/2006/relationships/image" Target="media/image797.png"/><Relationship Id="rId831" Type="http://schemas.openxmlformats.org/officeDocument/2006/relationships/image" Target="media/image798.png"/><Relationship Id="rId832" Type="http://schemas.openxmlformats.org/officeDocument/2006/relationships/image" Target="media/image799.png"/><Relationship Id="rId833" Type="http://schemas.openxmlformats.org/officeDocument/2006/relationships/image" Target="media/image800.png"/><Relationship Id="rId834" Type="http://schemas.openxmlformats.org/officeDocument/2006/relationships/image" Target="media/image801.png"/><Relationship Id="rId835" Type="http://schemas.openxmlformats.org/officeDocument/2006/relationships/image" Target="media/image802.png"/><Relationship Id="rId836" Type="http://schemas.openxmlformats.org/officeDocument/2006/relationships/image" Target="media/image803.png"/><Relationship Id="rId837" Type="http://schemas.openxmlformats.org/officeDocument/2006/relationships/image" Target="media/image804.png"/><Relationship Id="rId838" Type="http://schemas.openxmlformats.org/officeDocument/2006/relationships/image" Target="media/image805.png"/><Relationship Id="rId839" Type="http://schemas.openxmlformats.org/officeDocument/2006/relationships/image" Target="media/image806.png"/><Relationship Id="rId840" Type="http://schemas.openxmlformats.org/officeDocument/2006/relationships/image" Target="media/image807.png"/><Relationship Id="rId841" Type="http://schemas.openxmlformats.org/officeDocument/2006/relationships/image" Target="media/image808.png"/><Relationship Id="rId842" Type="http://schemas.openxmlformats.org/officeDocument/2006/relationships/image" Target="media/image809.png"/><Relationship Id="rId843" Type="http://schemas.openxmlformats.org/officeDocument/2006/relationships/image" Target="media/image810.png"/><Relationship Id="rId844" Type="http://schemas.openxmlformats.org/officeDocument/2006/relationships/image" Target="media/image811.png"/><Relationship Id="rId845" Type="http://schemas.openxmlformats.org/officeDocument/2006/relationships/image" Target="media/image812.png"/><Relationship Id="rId846" Type="http://schemas.openxmlformats.org/officeDocument/2006/relationships/image" Target="media/image813.png"/><Relationship Id="rId847" Type="http://schemas.openxmlformats.org/officeDocument/2006/relationships/image" Target="media/image814.png"/><Relationship Id="rId848" Type="http://schemas.openxmlformats.org/officeDocument/2006/relationships/image" Target="media/image815.png"/><Relationship Id="rId849" Type="http://schemas.openxmlformats.org/officeDocument/2006/relationships/image" Target="media/image816.png"/><Relationship Id="rId850" Type="http://schemas.openxmlformats.org/officeDocument/2006/relationships/image" Target="media/image817.png"/><Relationship Id="rId851" Type="http://schemas.openxmlformats.org/officeDocument/2006/relationships/image" Target="media/image818.png"/><Relationship Id="rId852" Type="http://schemas.openxmlformats.org/officeDocument/2006/relationships/image" Target="media/image819.png"/><Relationship Id="rId853" Type="http://schemas.openxmlformats.org/officeDocument/2006/relationships/image" Target="media/image820.png"/><Relationship Id="rId854" Type="http://schemas.openxmlformats.org/officeDocument/2006/relationships/image" Target="media/image821.png"/><Relationship Id="rId855" Type="http://schemas.openxmlformats.org/officeDocument/2006/relationships/image" Target="media/image822.png"/><Relationship Id="rId395" Type="http://schemas.openxmlformats.org/officeDocument/2006/relationships/hyperlink" Target="https://www.sec.gov/Archives/edgar/data/1756699/000104746919001070/a2237808zex-3_2.htm" TargetMode="External"/><Relationship Id="rId396" Type="http://schemas.openxmlformats.org/officeDocument/2006/relationships/hyperlink" Target="https://www.sec.gov/Archives/edgar/data/1756699/000110465920053356/a20-14987_1ex2d1.htm" TargetMode="External"/><Relationship Id="rId397" Type="http://schemas.openxmlformats.org/officeDocument/2006/relationships/hyperlink" Target="https://www.sec.gov/Archives/edgar/data/1756699/000104746919001070/a2237808zex-4_3.htm" TargetMode="External"/><Relationship Id="rId398" Type="http://schemas.openxmlformats.org/officeDocument/2006/relationships/hyperlink" Target="https://www.sec.gov/Archives/edgar/data/1756699/000104746919001070/a2237808zex-4_2.htm" TargetMode="External"/><Relationship Id="rId402" Type="http://schemas.openxmlformats.org/officeDocument/2006/relationships/hyperlink" Target="https://www.sec.gov/Archives/edgar/data/1756699/000104746919001070/a2237808zex-4_4.htm" TargetMode="External"/><Relationship Id="rId404" Type="http://schemas.openxmlformats.org/officeDocument/2006/relationships/hyperlink" Target="https://www.sec.gov/Archives/edgar/data/1756699/000110465920053356/a20-14987_1ex3d1.htm" TargetMode="External"/><Relationship Id="rId408" Type="http://schemas.openxmlformats.org/officeDocument/2006/relationships/hyperlink" Target="https://www.sec.gov/Archives/edgar/data/1756699/000104746919000627/a2237532zex-10_1.htm" TargetMode="External"/><Relationship Id="rId413" Type="http://schemas.openxmlformats.org/officeDocument/2006/relationships/hyperlink" Target="https://www.sec.gov/Archives/edgar/data/1756699/000095017024046209/tigr-ex4_2.htm" TargetMode="External"/><Relationship Id="rId417" Type="http://schemas.openxmlformats.org/officeDocument/2006/relationships/hyperlink" Target="https://www.sec.gov/Archives/edgar/data/1756699/000095017024046209/tigr-ex4_3.htm" TargetMode="External"/><Relationship Id="rId421" Type="http://schemas.openxmlformats.org/officeDocument/2006/relationships/hyperlink" Target="https://www.sec.gov/Archives/edgar/data/1756699/000095017024046209/tigr-ex4_4.htm" TargetMode="External"/><Relationship Id="rId426" Type="http://schemas.openxmlformats.org/officeDocument/2006/relationships/hyperlink" Target="https://www.sec.gov/Archives/edgar/data/1756699/000104746919000627/a2237532zex-10_5.htm" TargetMode="External"/><Relationship Id="rId429" Type="http://schemas.openxmlformats.org/officeDocument/2006/relationships/hyperlink" Target="https://www.sec.gov/Archives/edgar/data/1756699/000104746919000627/a2237532zex-10_6.htm" TargetMode="External"/><Relationship Id="rId432" Type="http://schemas.openxmlformats.org/officeDocument/2006/relationships/hyperlink" Target="https://www.sec.gov/Archives/edgar/data/1756699/000104746919000627/a2237532zex-10_7.htm" TargetMode="External"/><Relationship Id="rId436" Type="http://schemas.openxmlformats.org/officeDocument/2006/relationships/hyperlink" Target="https://www.sec.gov/Archives/edgar/data/1756699/000104746919000627/a2237532zex-10_8.htm" TargetMode="External"/><Relationship Id="rId438" Type="http://schemas.openxmlformats.org/officeDocument/2006/relationships/hyperlink" Target="https://www.sec.gov/Archives/edgar/data/1756699/000104746919000627/a2237532zex-10_9.htm" TargetMode="External"/><Relationship Id="rId441" Type="http://schemas.openxmlformats.org/officeDocument/2006/relationships/hyperlink" Target="https://www.sec.gov/Archives/edgar/data/1756699/000104746919000627/a2237532zex-10_10.htm" TargetMode="External"/><Relationship Id="rId444" Type="http://schemas.openxmlformats.org/officeDocument/2006/relationships/hyperlink" Target="https://www.sec.gov/Archives/edgar/data/1756699/000104746919000627/a2237532zex-10_11.htm" TargetMode="External"/><Relationship Id="rId447" Type="http://schemas.openxmlformats.org/officeDocument/2006/relationships/hyperlink" Target="https://www.sec.gov/Archives/edgar/data/1756699/000104746919000627/a2237532zex-10_13.htm" TargetMode="External"/><Relationship Id="rId452" Type="http://schemas.openxmlformats.org/officeDocument/2006/relationships/hyperlink" Target="https://www.sec.gov/Archives/edgar/data/1756699/000104746919000627/a2237532zex-10_14.htm" TargetMode="External"/><Relationship Id="rId456" Type="http://schemas.openxmlformats.org/officeDocument/2006/relationships/hyperlink" Target="https://www.sec.gov/Archives/edgar/data/1756699/000104746919001070/a2237808zex-10_16.htm" TargetMode="External"/><Relationship Id="rId459" Type="http://schemas.openxmlformats.org/officeDocument/2006/relationships/hyperlink" Target="https://www.sec.gov/Archives/edgar/data/1756699/000104746919001070/a2237808zex-10_17.htm" TargetMode="External"/><Relationship Id="rId462" Type="http://schemas.openxmlformats.org/officeDocument/2006/relationships/hyperlink" Target="https://www.sec.gov/Archives/edgar/data/1756699/000110465921112034/tm2126678d1_ex10-1.htm" TargetMode="External"/><Relationship Id="rId463" Type="http://schemas.openxmlformats.org/officeDocument/2006/relationships/hyperlink" Target="https://www.sec.gov/Archives/edgar/data/1756699/000104746919001070/a2237808zex-99_8.htm" TargetMode="External"/><Relationship Id="rId464" Type="http://schemas.openxmlformats.org/officeDocument/2006/relationships/hyperlink" Target="https://www.sec.gov/Archives/edgar/data/1756699/000095017025056953/tigr-ex11_2.htm" TargetMode="External"/><Relationship Id="rId465" Type="http://schemas.openxmlformats.org/officeDocument/2006/relationships/hyperlink" Target="https://www.sec.gov/Archives/edgar/data/1756699/000095017025056953/tigr-ex11_3.htm" TargetMode="External"/><Relationship Id="rId470" Type="http://schemas.openxmlformats.org/officeDocument/2006/relationships/hyperlink" Target="https://www.sec.gov/Archives/edgar/data/1756699/000095017024046209/tigr-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2026-04-24T05:22:58Z</dcterms:created>
  <dcterms:modified xsi:type="dcterms:W3CDTF">2026-04-24T05:22:58Z</dcterms:modified>
</cp:coreProperties>
</file>