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0002107270</w:t>
            </w:r>
          </w:p>
        </w:tc>
        <w:tc>
          <w:tcPr>
            <w:tcW w:w="3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6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UP FINTECH HOLDING LIMITED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6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001-38833</w:t>
            </w: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6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1 Raffles Place</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96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#35-61 One Raffles Place</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6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Singapore</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96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SINGAPORE</w:t>
            </w: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6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048616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6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852-27602579</w:t>
            </w: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6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Liu Jian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6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380" w:type="dxa"/>
            <w:vAlign w:val="bottom"/>
            <w:vMerge w:val="restart"/>
          </w:tcPr>
          <w:p>
            <w:pPr>
              <w:ind w:left="28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38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Tiger Brokers (NZ)</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3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Limited</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(each representing</w:t>
            </w:r>
          </w:p>
        </w:tc>
        <w:tc>
          <w:tcPr>
            <w:tcW w:w="23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Level 27</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46400</w:t>
            </w:r>
          </w:p>
        </w:tc>
        <w:tc>
          <w:tcPr>
            <w:tcW w:w="0" w:type="dxa"/>
            <w:vAlign w:val="bottom"/>
          </w:tcPr>
          <w:p>
            <w:pPr>
              <w:spacing w:after="0"/>
              <w:rPr>
                <w:sz w:val="1"/>
                <w:szCs w:val="1"/>
                <w:color w:val="auto"/>
              </w:rPr>
            </w:pPr>
          </w:p>
        </w:tc>
      </w:tr>
      <w:tr>
        <w:trPr>
          <w:trHeight w:val="161"/>
        </w:trPr>
        <w:tc>
          <w:tcPr>
            <w:tcW w:w="2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15 Class A Ordinary</w:t>
            </w: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151 Queen Street,</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60" w:type="dxa"/>
            <w:vAlign w:val="bottom"/>
            <w:vMerge w:val="continue"/>
          </w:tcPr>
          <w:p>
            <w:pPr>
              <w:spacing w:after="0"/>
              <w:rPr>
                <w:sz w:val="7"/>
                <w:szCs w:val="7"/>
                <w:color w:val="auto"/>
              </w:rPr>
            </w:pPr>
          </w:p>
        </w:tc>
        <w:tc>
          <w:tcPr>
            <w:tcW w:w="238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3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Auckland Central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60" w:type="dxa"/>
            <w:vAlign w:val="bottom"/>
          </w:tcPr>
          <w:p>
            <w:pPr>
              <w:spacing w:after="0"/>
              <w:rPr>
                <w:sz w:val="24"/>
                <w:szCs w:val="24"/>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Auckland  Q2  1010</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178700661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0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jc w:val="center"/>
              <w:ind w:left="25"/>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58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Nature of</w:t>
            </w:r>
          </w:p>
        </w:tc>
        <w:tc>
          <w:tcPr>
            <w:tcW w:w="0" w:type="dxa"/>
            <w:vAlign w:val="bottom"/>
          </w:tcPr>
          <w:p>
            <w:pPr>
              <w:spacing w:after="0"/>
              <w:rPr>
                <w:sz w:val="1"/>
                <w:szCs w:val="1"/>
                <w:color w:val="auto"/>
              </w:rPr>
            </w:pPr>
          </w:p>
        </w:tc>
      </w:tr>
      <w:tr>
        <w:trPr>
          <w:trHeight w:val="243"/>
        </w:trPr>
        <w:tc>
          <w:tcPr>
            <w:tcW w:w="14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ind w:left="25"/>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5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080" w:type="dxa"/>
            <w:vAlign w:val="bottom"/>
          </w:tcPr>
          <w:p>
            <w:pPr>
              <w:spacing w:after="0"/>
              <w:rPr>
                <w:sz w:val="23"/>
                <w:szCs w:val="23"/>
                <w:color w:val="auto"/>
              </w:rPr>
            </w:pPr>
          </w:p>
        </w:tc>
        <w:tc>
          <w:tcPr>
            <w:tcW w:w="17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Acquired under</w:t>
            </w:r>
          </w:p>
        </w:tc>
        <w:tc>
          <w:tcPr>
            <w:tcW w:w="1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5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No cash</w:t>
            </w:r>
          </w:p>
        </w:tc>
        <w:tc>
          <w:tcPr>
            <w:tcW w:w="0" w:type="dxa"/>
            <w:vAlign w:val="bottom"/>
          </w:tcPr>
          <w:p>
            <w:pPr>
              <w:spacing w:after="0"/>
              <w:rPr>
                <w:sz w:val="1"/>
                <w:szCs w:val="1"/>
                <w:color w:val="auto"/>
              </w:rPr>
            </w:pPr>
          </w:p>
        </w:tc>
      </w:tr>
      <w:tr>
        <w:trPr>
          <w:trHeight w:val="122"/>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0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7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the Issuer's Equity</w:t>
            </w:r>
          </w:p>
        </w:tc>
        <w:tc>
          <w:tcPr>
            <w:tcW w:w="1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80" w:type="dxa"/>
            <w:vAlign w:val="bottom"/>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rPr>
              <w:t>consideration;</w:t>
            </w:r>
          </w:p>
        </w:tc>
        <w:tc>
          <w:tcPr>
            <w:tcW w:w="0" w:type="dxa"/>
            <w:vAlign w:val="bottom"/>
          </w:tcPr>
          <w:p>
            <w:pPr>
              <w:spacing w:after="0"/>
              <w:rPr>
                <w:sz w:val="1"/>
                <w:szCs w:val="1"/>
                <w:color w:val="auto"/>
              </w:rPr>
            </w:pPr>
          </w:p>
        </w:tc>
      </w:tr>
      <w:tr>
        <w:trPr>
          <w:trHeight w:val="12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 (each</w:t>
            </w:r>
          </w:p>
        </w:tc>
        <w:tc>
          <w:tcPr>
            <w:tcW w:w="10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40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1700" w:type="dxa"/>
            <w:vAlign w:val="bottom"/>
            <w:vMerge w:val="restart"/>
          </w:tcPr>
          <w:p>
            <w:pPr>
              <w:ind w:left="60"/>
              <w:spacing w:after="0" w:line="217" w:lineRule="exact"/>
              <w:rPr>
                <w:sz w:val="20"/>
                <w:szCs w:val="20"/>
                <w:color w:val="auto"/>
              </w:rPr>
            </w:pPr>
            <w:r>
              <w:rPr>
                <w:rFonts w:ascii="Times New Roman" w:cs="Times New Roman" w:eastAsia="Times New Roman" w:hAnsi="Times New Roman"/>
                <w:sz w:val="22"/>
                <w:szCs w:val="22"/>
                <w:color w:val="auto"/>
              </w:rPr>
              <w:t>Incentive Plan as</w:t>
            </w:r>
          </w:p>
        </w:tc>
        <w:tc>
          <w:tcPr>
            <w:tcW w:w="1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80" w:type="dxa"/>
            <w:vAlign w:val="bottom"/>
            <w:vMerge w:val="restart"/>
          </w:tcPr>
          <w:p>
            <w:pPr>
              <w:ind w:left="80"/>
              <w:spacing w:after="0" w:line="217" w:lineRule="exact"/>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55"/>
        </w:trPr>
        <w:tc>
          <w:tcPr>
            <w:tcW w:w="1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180" w:type="dxa"/>
            <w:vAlign w:val="bottom"/>
            <w:gridSpan w:val="3"/>
          </w:tcPr>
          <w:p>
            <w:pPr>
              <w:spacing w:after="0" w:line="243" w:lineRule="exact"/>
              <w:rPr>
                <w:sz w:val="20"/>
                <w:szCs w:val="20"/>
                <w:color w:val="auto"/>
              </w:rPr>
            </w:pPr>
            <w:r>
              <w:rPr>
                <w:rFonts w:ascii="Times New Roman" w:cs="Times New Roman" w:eastAsia="Times New Roman" w:hAnsi="Times New Roman"/>
                <w:sz w:val="16"/>
                <w:szCs w:val="16"/>
                <w:color w:val="auto"/>
              </w:rPr>
              <w:t xml:space="preserve">representing 15  04/15/2021 </w:t>
            </w:r>
            <w:r>
              <w:rPr>
                <w:rFonts w:ascii="Times New Roman" w:cs="Times New Roman" w:eastAsia="Times New Roman" w:hAnsi="Times New Roman"/>
                <w:sz w:val="28"/>
                <w:szCs w:val="28"/>
                <w:color w:val="auto"/>
                <w:vertAlign w:val="subscript"/>
              </w:rPr>
              <w:t>compensation for</w:t>
            </w:r>
          </w:p>
        </w:tc>
        <w:tc>
          <w:tcPr>
            <w:tcW w:w="14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w w:val="99"/>
              </w:rPr>
              <w:t>5333</w:t>
            </w:r>
          </w:p>
        </w:tc>
        <w:tc>
          <w:tcPr>
            <w:tcW w:w="264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8"/>
                <w:szCs w:val="28"/>
                <w:color w:val="auto"/>
                <w:vertAlign w:val="superscript"/>
              </w:rPr>
              <w:t>04/15/2021</w:t>
            </w:r>
            <w:r>
              <w:rPr>
                <w:rFonts w:ascii="Times New Roman" w:cs="Times New Roman" w:eastAsia="Times New Roman" w:hAnsi="Times New Roman"/>
                <w:sz w:val="16"/>
                <w:szCs w:val="16"/>
                <w:color w:val="auto"/>
              </w:rPr>
              <w:t xml:space="preserve"> compensation for</w:t>
            </w:r>
          </w:p>
        </w:tc>
        <w:tc>
          <w:tcPr>
            <w:tcW w:w="0" w:type="dxa"/>
            <w:vAlign w:val="bottom"/>
          </w:tcPr>
          <w:p>
            <w:pPr>
              <w:spacing w:after="0"/>
              <w:rPr>
                <w:sz w:val="1"/>
                <w:szCs w:val="1"/>
                <w:color w:val="auto"/>
              </w:rPr>
            </w:pPr>
          </w:p>
        </w:tc>
      </w:tr>
      <w:tr>
        <w:trPr>
          <w:trHeight w:val="148"/>
        </w:trPr>
        <w:tc>
          <w:tcPr>
            <w:tcW w:w="140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Class A</w:t>
            </w:r>
          </w:p>
        </w:tc>
        <w:tc>
          <w:tcPr>
            <w:tcW w:w="1080" w:type="dxa"/>
            <w:vAlign w:val="bottom"/>
          </w:tcPr>
          <w:p>
            <w:pPr>
              <w:spacing w:after="0"/>
              <w:rPr>
                <w:sz w:val="12"/>
                <w:szCs w:val="12"/>
                <w:color w:val="auto"/>
              </w:rPr>
            </w:pPr>
          </w:p>
        </w:tc>
        <w:tc>
          <w:tcPr>
            <w:tcW w:w="17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service as a</w:t>
            </w: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service as a</w:t>
            </w:r>
          </w:p>
        </w:tc>
        <w:tc>
          <w:tcPr>
            <w:tcW w:w="0" w:type="dxa"/>
            <w:vAlign w:val="bottom"/>
          </w:tcPr>
          <w:p>
            <w:pPr>
              <w:spacing w:after="0"/>
              <w:rPr>
                <w:sz w:val="1"/>
                <w:szCs w:val="1"/>
                <w:color w:val="auto"/>
              </w:rPr>
            </w:pPr>
          </w:p>
        </w:tc>
      </w:tr>
      <w:tr>
        <w:trPr>
          <w:trHeight w:val="122"/>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10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7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director</w:t>
            </w:r>
          </w:p>
        </w:tc>
        <w:tc>
          <w:tcPr>
            <w:tcW w:w="1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director</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1080" w:type="dxa"/>
            <w:vAlign w:val="bottom"/>
          </w:tcPr>
          <w:p>
            <w:pPr>
              <w:spacing w:after="0"/>
              <w:rPr>
                <w:sz w:val="13"/>
                <w:szCs w:val="13"/>
                <w:color w:val="auto"/>
              </w:rPr>
            </w:pPr>
          </w:p>
        </w:tc>
        <w:tc>
          <w:tcPr>
            <w:tcW w:w="170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080" w:type="dxa"/>
            <w:vAlign w:val="bottom"/>
          </w:tcPr>
          <w:p>
            <w:pPr>
              <w:spacing w:after="0"/>
              <w:rPr>
                <w:sz w:val="22"/>
                <w:szCs w:val="22"/>
                <w:color w:val="auto"/>
              </w:rPr>
            </w:pPr>
          </w:p>
        </w:tc>
        <w:tc>
          <w:tcPr>
            <w:tcW w:w="17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Acquired under</w:t>
            </w:r>
          </w:p>
        </w:tc>
        <w:tc>
          <w:tcPr>
            <w:tcW w:w="1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No cash</w:t>
            </w:r>
          </w:p>
        </w:tc>
        <w:tc>
          <w:tcPr>
            <w:tcW w:w="0" w:type="dxa"/>
            <w:vAlign w:val="bottom"/>
          </w:tcPr>
          <w:p>
            <w:pPr>
              <w:spacing w:after="0"/>
              <w:rPr>
                <w:sz w:val="1"/>
                <w:szCs w:val="1"/>
                <w:color w:val="auto"/>
              </w:rPr>
            </w:pPr>
          </w:p>
        </w:tc>
      </w:tr>
      <w:tr>
        <w:trPr>
          <w:trHeight w:val="122"/>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0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7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the Issuer's Equity</w:t>
            </w:r>
          </w:p>
        </w:tc>
        <w:tc>
          <w:tcPr>
            <w:tcW w:w="1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80" w:type="dxa"/>
            <w:vAlign w:val="bottom"/>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rPr>
              <w:t>consideration;</w:t>
            </w:r>
          </w:p>
        </w:tc>
        <w:tc>
          <w:tcPr>
            <w:tcW w:w="0" w:type="dxa"/>
            <w:vAlign w:val="bottom"/>
          </w:tcPr>
          <w:p>
            <w:pPr>
              <w:spacing w:after="0"/>
              <w:rPr>
                <w:sz w:val="1"/>
                <w:szCs w:val="1"/>
                <w:color w:val="auto"/>
              </w:rPr>
            </w:pPr>
          </w:p>
        </w:tc>
      </w:tr>
      <w:tr>
        <w:trPr>
          <w:trHeight w:val="12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 (each</w:t>
            </w:r>
          </w:p>
        </w:tc>
        <w:tc>
          <w:tcPr>
            <w:tcW w:w="10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40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1700" w:type="dxa"/>
            <w:vAlign w:val="bottom"/>
            <w:vMerge w:val="restart"/>
          </w:tcPr>
          <w:p>
            <w:pPr>
              <w:ind w:left="60"/>
              <w:spacing w:after="0" w:line="217" w:lineRule="exact"/>
              <w:rPr>
                <w:sz w:val="20"/>
                <w:szCs w:val="20"/>
                <w:color w:val="auto"/>
              </w:rPr>
            </w:pPr>
            <w:r>
              <w:rPr>
                <w:rFonts w:ascii="Times New Roman" w:cs="Times New Roman" w:eastAsia="Times New Roman" w:hAnsi="Times New Roman"/>
                <w:sz w:val="22"/>
                <w:szCs w:val="22"/>
                <w:color w:val="auto"/>
              </w:rPr>
              <w:t>Incentive Plan as</w:t>
            </w:r>
          </w:p>
        </w:tc>
        <w:tc>
          <w:tcPr>
            <w:tcW w:w="1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80" w:type="dxa"/>
            <w:vAlign w:val="bottom"/>
            <w:vMerge w:val="restart"/>
          </w:tcPr>
          <w:p>
            <w:pPr>
              <w:ind w:left="80"/>
              <w:spacing w:after="0" w:line="217" w:lineRule="exact"/>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56"/>
        </w:trPr>
        <w:tc>
          <w:tcPr>
            <w:tcW w:w="1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180" w:type="dxa"/>
            <w:vAlign w:val="bottom"/>
            <w:gridSpan w:val="3"/>
          </w:tcPr>
          <w:p>
            <w:pPr>
              <w:spacing w:after="0" w:line="243" w:lineRule="exact"/>
              <w:rPr>
                <w:sz w:val="20"/>
                <w:szCs w:val="20"/>
                <w:color w:val="auto"/>
              </w:rPr>
            </w:pPr>
            <w:r>
              <w:rPr>
                <w:rFonts w:ascii="Times New Roman" w:cs="Times New Roman" w:eastAsia="Times New Roman" w:hAnsi="Times New Roman"/>
                <w:sz w:val="16"/>
                <w:szCs w:val="16"/>
                <w:color w:val="auto"/>
              </w:rPr>
              <w:t xml:space="preserve">representing 15  04/15/2022 </w:t>
            </w:r>
            <w:r>
              <w:rPr>
                <w:rFonts w:ascii="Times New Roman" w:cs="Times New Roman" w:eastAsia="Times New Roman" w:hAnsi="Times New Roman"/>
                <w:sz w:val="28"/>
                <w:szCs w:val="28"/>
                <w:color w:val="auto"/>
                <w:vertAlign w:val="subscript"/>
              </w:rPr>
              <w:t>compensation for</w:t>
            </w:r>
          </w:p>
        </w:tc>
        <w:tc>
          <w:tcPr>
            <w:tcW w:w="14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w w:val="99"/>
              </w:rPr>
              <w:t>4667</w:t>
            </w:r>
          </w:p>
        </w:tc>
        <w:tc>
          <w:tcPr>
            <w:tcW w:w="264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8"/>
                <w:szCs w:val="28"/>
                <w:color w:val="auto"/>
                <w:vertAlign w:val="superscript"/>
              </w:rPr>
              <w:t>04/15/2022</w:t>
            </w:r>
            <w:r>
              <w:rPr>
                <w:rFonts w:ascii="Times New Roman" w:cs="Times New Roman" w:eastAsia="Times New Roman" w:hAnsi="Times New Roman"/>
                <w:sz w:val="16"/>
                <w:szCs w:val="16"/>
                <w:color w:val="auto"/>
              </w:rPr>
              <w:t xml:space="preserve"> compensation for</w:t>
            </w:r>
          </w:p>
        </w:tc>
        <w:tc>
          <w:tcPr>
            <w:tcW w:w="0" w:type="dxa"/>
            <w:vAlign w:val="bottom"/>
          </w:tcPr>
          <w:p>
            <w:pPr>
              <w:spacing w:after="0"/>
              <w:rPr>
                <w:sz w:val="1"/>
                <w:szCs w:val="1"/>
                <w:color w:val="auto"/>
              </w:rPr>
            </w:pPr>
          </w:p>
        </w:tc>
      </w:tr>
      <w:tr>
        <w:trPr>
          <w:trHeight w:val="148"/>
        </w:trPr>
        <w:tc>
          <w:tcPr>
            <w:tcW w:w="140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Class A</w:t>
            </w:r>
          </w:p>
        </w:tc>
        <w:tc>
          <w:tcPr>
            <w:tcW w:w="1080" w:type="dxa"/>
            <w:vAlign w:val="bottom"/>
          </w:tcPr>
          <w:p>
            <w:pPr>
              <w:spacing w:after="0"/>
              <w:rPr>
                <w:sz w:val="12"/>
                <w:szCs w:val="12"/>
                <w:color w:val="auto"/>
              </w:rPr>
            </w:pPr>
          </w:p>
        </w:tc>
        <w:tc>
          <w:tcPr>
            <w:tcW w:w="17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service as a</w:t>
            </w: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service as a</w:t>
            </w:r>
          </w:p>
        </w:tc>
        <w:tc>
          <w:tcPr>
            <w:tcW w:w="0" w:type="dxa"/>
            <w:vAlign w:val="bottom"/>
          </w:tcPr>
          <w:p>
            <w:pPr>
              <w:spacing w:after="0"/>
              <w:rPr>
                <w:sz w:val="1"/>
                <w:szCs w:val="1"/>
                <w:color w:val="auto"/>
              </w:rPr>
            </w:pPr>
          </w:p>
        </w:tc>
      </w:tr>
      <w:tr>
        <w:trPr>
          <w:trHeight w:val="122"/>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10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7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director</w:t>
            </w:r>
          </w:p>
        </w:tc>
        <w:tc>
          <w:tcPr>
            <w:tcW w:w="1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director</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1080" w:type="dxa"/>
            <w:vAlign w:val="bottom"/>
          </w:tcPr>
          <w:p>
            <w:pPr>
              <w:spacing w:after="0"/>
              <w:rPr>
                <w:sz w:val="13"/>
                <w:szCs w:val="13"/>
                <w:color w:val="auto"/>
              </w:rPr>
            </w:pPr>
          </w:p>
        </w:tc>
        <w:tc>
          <w:tcPr>
            <w:tcW w:w="170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-1729740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-615950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92" w:lineRule="exact"/>
        <w:rPr>
          <w:sz w:val="20"/>
          <w:szCs w:val="20"/>
          <w:color w:val="auto"/>
        </w:rPr>
      </w:pPr>
    </w:p>
    <w:p>
      <w:pPr>
        <w:ind w:left="940" w:right="34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securities to be sold are American Depositary Shares, each representing 15 Class A ordinary shares. Aggregate market value is based on the price of US$4.64 per ADS on June 24, 2026.</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06/25/2026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/s/Jian Liu</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2026-06-25T05:31:25Z</dcterms:created>
  <dcterms:modified xsi:type="dcterms:W3CDTF">2026-06-25T05:31:25Z</dcterms:modified>
</cp:coreProperties>
</file>