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1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001-38833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173990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32"/>
          <w:szCs w:val="32"/>
          <w:b w:val="1"/>
          <w:bCs w:val="1"/>
          <w:color w:val="auto"/>
        </w:rPr>
        <w:t>UP Fintech Holding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182245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1 Raffles Place, #35-61 One Raffles Place</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Singapore (048616)</w:t>
      </w:r>
    </w:p>
    <w:p>
      <w:pPr>
        <w:spacing w:after="0" w:line="20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120" w:val="left"/>
          <w:tab w:leader="none" w:pos="5620" w:val="left"/>
          <w:tab w:leader="none" w:pos="674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1513840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 Reports Unaudited First Quarter 2026 Financial Results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UP Fintech Holding Limited (NASDAQ: TIGR), a leading online brokerage firm focusing on global investors, today announced its unaudited financial results for the first quarter ended March 31, 2026. A copy of the news release relating to the above matter is set forth in Exhibit 99.1, which is being furnished herewith.</w:t>
      </w:r>
    </w:p>
    <w:p>
      <w:pPr>
        <w:spacing w:after="0" w:line="14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29"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FEI ZENG</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Fei Zeng</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720" w:type="dxa"/>
            <w:vAlign w:val="bottom"/>
            <w:vMerge w:val="restart"/>
          </w:tcPr>
          <w:p>
            <w:pPr>
              <w:ind w:left="2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June 2, 2026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Fintech Holding Limited Reports Unaudited First Quarter 2026 Financial Results</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Singapore, June 2, 2026 – UP Fintech Holding Limited (NASDAQ: TIGR) (“UP Fintech” or the “Company”), a leading online brokerage firm focusing on global investors, today announced its unaudited financial results for the first quarter ended March 31, 2026.</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Mr. Wu Tianhua, Chairman and CEO of UP Fintech stated: “In the first quarter, we continued to expand our user base and client assets, while further optimizing our comprehensive product offerings. Supported by these solid fundamentals, both our topline and operating performance have achieved notable year-over-year growth. Our total revenue for the first quarter reached US$154.9 million, representing a 26.3% increase year over year. Net loss and non-GAAP net loss attributable to UP Fintech for the quarter were $26.9 million and $23.8 million, versus net income of $30.4 million and $36.0 million in the same quarter last year. Recently on May 22, the Beijing Bureau of the China Securities Regulatory Commission (CSRC) issued administrative penalties and ordered the confiscation of illegal gains against certain subsidiaries of the Company, with a total amount of approximately RMB 411 million (equivalent to roughly $59.7 million). The penalties stemmed from certain subsidiaries’ unlicensed cross-border securities business and illegal activities relating to the fund and futures business in mainland China. The Company sincerely accepts the penalty and has recognized it as a subsequent significant event for the first quarter. Considering the Company’s overall profitability and cash flow position, this one-off expense will not have a material adverse impact on our business operations or long-term development.</w:t>
      </w:r>
    </w:p>
    <w:p>
      <w:pPr>
        <w:spacing w:after="0" w:line="1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the first quarter, we added 28,900 new funded clients, with great majority of which came from Singapore and Hong Kong markets. Our total funded accounts reached 1,282,800 at quarter end, representing an 11.3% year-over-year increase. We continued to see solid net asset inflows, which amounted to $2.9 billion in the first quarter. It marks the first time in our history that quarterly net asset inflow above $2 billion from consolidated retail accounts, further demonstrating solid progress delivered by our client quality focused strategy. The overall market trended downward in the first quarter, driven by the pullbacks across financials, technology and consumer discretionary sectors. This caused $4.9 billion mark to market losses in client assets, led our total client assets down 3.2% quarter on quarter, though it still achieved a solid 28.4% year over year growth to reach $58.9 billion at quarter end. Nasdaq has since staged a rebound in the second quarter, and all mark to market losses on client assets recorded in the first quarter have been fully recovered on a quarter-to-date basis.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continued optimizing products and elevating user experience. This quarter, we upgraded Tiger AI to a Multi-Agent structure, splitting functions like search, analysis, forecasting and risk control into standalone agents for more accurate outputs. In addition, we launched the Futures-focused Agent in the first quarter, which greatly improves accuracy and practicality in future-related inquiries and effectively lifts user satisfaction with Tiger AI’s futures service capabilities. Also, beyond its original dual-model setup, Tiger AI has now integrated with the Claude model, evolving into a triple-model intelligent assistant. Additionally, we further expanded our derivatives trading offerings by officially launching Hong Kong index options trading, alongside the TWAP (Time-Weighted Average Price) order function for options.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corporate business continued to perform well in the first quarter of 2026. We underwrote 10 Hong Kong IPOs, including industry-leading AI players “MiniMax” and “Zhipu AI”. We also completed two major U.S. SPAC IPOs, namely Fortress Value Acquisition Corp. V and KPET Ultra Paceline Corp. Additionally, investor demands for Hong Kong IPO subscriptions remained strong, the total subscription amount on the Tiger platform has exceeded HK$1 trillion year-to-date in 2026. In our ESOP business, we added 42 new clients in the first quarter, bringing our aggregate ESOP client count to 790 as of March 31, 2026.</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To demonstrate our confidence in the Company's long-term growth prospects and our commitment to delivering shareholder value, our board of directors has approved a share repurchase program of up to US$50 million, to be implemented over a 12-month period from June 1, 2026.”</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Financial Highlights for First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ind w:left="1020" w:hanging="503"/>
        <w:spacing w:after="0"/>
        <w:tabs>
          <w:tab w:leader="none" w:pos="10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Total revenues </w:t>
      </w:r>
      <w:r>
        <w:rPr>
          <w:rFonts w:ascii="Times New Roman" w:cs="Times New Roman" w:eastAsia="Times New Roman" w:hAnsi="Times New Roman"/>
          <w:sz w:val="20"/>
          <w:szCs w:val="20"/>
          <w:color w:val="auto"/>
        </w:rPr>
        <w:t>were US$154.9 million, an increase of 26.3% year-over-year and a decrease of 11.8% quarter-over-quarter.</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Total net revenues </w:t>
      </w:r>
      <w:r>
        <w:rPr>
          <w:rFonts w:ascii="Times New Roman" w:cs="Times New Roman" w:eastAsia="Times New Roman" w:hAnsi="Times New Roman"/>
          <w:sz w:val="19"/>
          <w:szCs w:val="19"/>
          <w:color w:val="auto"/>
        </w:rPr>
        <w:t>were US$136.7 million, an increase of 27.1% year-over-year and a decrease of 12.7% quarter-over-quarter.</w:t>
      </w:r>
    </w:p>
    <w:p>
      <w:pPr>
        <w:spacing w:after="0" w:line="119" w:lineRule="exact"/>
        <w:rPr>
          <w:rFonts w:ascii="Times New Roman" w:cs="Times New Roman" w:eastAsia="Times New Roman" w:hAnsi="Times New Roman"/>
          <w:sz w:val="19"/>
          <w:szCs w:val="19"/>
          <w:color w:val="auto"/>
        </w:rPr>
      </w:pPr>
    </w:p>
    <w:p>
      <w:pPr>
        <w:ind w:left="1020" w:hanging="503"/>
        <w:spacing w:after="0" w:line="273" w:lineRule="auto"/>
        <w:tabs>
          <w:tab w:leader="none" w:pos="10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Net loss attributable to ordinary shareholders of UP Fintech </w:t>
      </w:r>
      <w:r>
        <w:rPr>
          <w:rFonts w:ascii="Times New Roman" w:cs="Times New Roman" w:eastAsia="Times New Roman" w:hAnsi="Times New Roman"/>
          <w:sz w:val="20"/>
          <w:szCs w:val="20"/>
          <w:color w:val="auto"/>
        </w:rPr>
        <w:t>was US$26.9 million compared to a net income attributable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ordinary shareholders of UP Fintech of US$30.4 million in the same quarter of last year.</w:t>
      </w:r>
    </w:p>
    <w:p>
      <w:pPr>
        <w:spacing w:after="0" w:line="43" w:lineRule="exact"/>
        <w:rPr>
          <w:rFonts w:ascii="Times New Roman" w:cs="Times New Roman" w:eastAsia="Times New Roman" w:hAnsi="Times New Roman"/>
          <w:sz w:val="20"/>
          <w:szCs w:val="20"/>
          <w:color w:val="auto"/>
        </w:rPr>
      </w:pPr>
    </w:p>
    <w:p>
      <w:pPr>
        <w:jc w:val="both"/>
        <w:ind w:left="1020" w:hanging="503"/>
        <w:spacing w:after="0" w:line="256" w:lineRule="auto"/>
        <w:tabs>
          <w:tab w:leader="none" w:pos="10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Non-GAAP net loss attributable to ordinary shareholders of UP Fintech </w:t>
      </w:r>
      <w:r>
        <w:rPr>
          <w:rFonts w:ascii="Times New Roman" w:cs="Times New Roman" w:eastAsia="Times New Roman" w:hAnsi="Times New Roman"/>
          <w:sz w:val="20"/>
          <w:szCs w:val="20"/>
          <w:color w:val="auto"/>
        </w:rPr>
        <w:t>was US$23.8 million, compared to a non-GAAP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net income attributable to ordinary shareholders of UP Fintech of US$36.0 million in the same quarter of last year. A reconciliation of non-GAAP financial metrics to the most comparable GAAP metrics is set forth below.</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Highlights for First Quarter 2026</w:t>
      </w:r>
    </w:p>
    <w:p>
      <w:pPr>
        <w:spacing w:after="0" w:line="175"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Total account balance </w:t>
      </w:r>
      <w:r>
        <w:rPr>
          <w:rFonts w:ascii="Times New Roman" w:cs="Times New Roman" w:eastAsia="Times New Roman" w:hAnsi="Times New Roman"/>
          <w:sz w:val="20"/>
          <w:szCs w:val="20"/>
          <w:color w:val="auto"/>
        </w:rPr>
        <w:t>increased 28.4% year-over-year to US$58.9 billion.</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Total margin financing and securities lending balance </w:t>
      </w:r>
      <w:r>
        <w:rPr>
          <w:rFonts w:ascii="Times New Roman" w:cs="Times New Roman" w:eastAsia="Times New Roman" w:hAnsi="Times New Roman"/>
          <w:sz w:val="20"/>
          <w:szCs w:val="20"/>
          <w:color w:val="auto"/>
        </w:rPr>
        <w:t>increased 19.5% year-over-year to US$6.2 billion.</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Total number of customers with deposit </w:t>
      </w:r>
      <w:r>
        <w:rPr>
          <w:rFonts w:ascii="Times New Roman" w:cs="Times New Roman" w:eastAsia="Times New Roman" w:hAnsi="Times New Roman"/>
          <w:sz w:val="20"/>
          <w:szCs w:val="20"/>
          <w:color w:val="auto"/>
        </w:rPr>
        <w:t>increased 11.3% year-over-year to 1,282.8 thousand.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Selected Operating Data for First Quarter 2026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4240" w:type="dxa"/>
            <w:vAlign w:val="bottom"/>
            <w:tcBorders>
              <w:bottom w:val="single" w:sz="8" w:color="auto"/>
            </w:tcBorders>
            <w:gridSpan w:val="5"/>
          </w:tcPr>
          <w:p>
            <w:pPr>
              <w:jc w:val="center"/>
              <w:ind w:left="1211"/>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w:t>
            </w: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7"/>
        </w:trPr>
        <w:tc>
          <w:tcPr>
            <w:tcW w:w="5560" w:type="dxa"/>
            <w:vAlign w:val="bottom"/>
          </w:tcPr>
          <w:p>
            <w:pPr>
              <w:spacing w:after="0"/>
              <w:rPr>
                <w:sz w:val="16"/>
                <w:szCs w:val="16"/>
                <w:color w:val="auto"/>
              </w:rPr>
            </w:pPr>
          </w:p>
        </w:tc>
        <w:tc>
          <w:tcPr>
            <w:tcW w:w="1700" w:type="dxa"/>
            <w:vAlign w:val="bottom"/>
          </w:tcPr>
          <w:p>
            <w:pPr>
              <w:jc w:val="right"/>
              <w:ind w:right="371"/>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6"/>
                <w:szCs w:val="16"/>
                <w:color w:val="auto"/>
              </w:rPr>
            </w:pPr>
          </w:p>
        </w:tc>
        <w:tc>
          <w:tcPr>
            <w:tcW w:w="2320" w:type="dxa"/>
            <w:vAlign w:val="bottom"/>
            <w:gridSpan w:val="3"/>
          </w:tcPr>
          <w:p>
            <w:pPr>
              <w:jc w:val="center"/>
              <w:ind w:right="6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6"/>
                <w:szCs w:val="16"/>
                <w:color w:val="auto"/>
              </w:rPr>
            </w:pPr>
          </w:p>
        </w:tc>
      </w:tr>
      <w:tr>
        <w:trPr>
          <w:trHeight w:val="238"/>
        </w:trPr>
        <w:tc>
          <w:tcPr>
            <w:tcW w:w="5560" w:type="dxa"/>
            <w:vAlign w:val="bottom"/>
          </w:tcPr>
          <w:p>
            <w:pPr>
              <w:spacing w:after="0"/>
              <w:rPr>
                <w:sz w:val="20"/>
                <w:szCs w:val="20"/>
                <w:color w:val="auto"/>
              </w:rPr>
            </w:pPr>
          </w:p>
        </w:tc>
        <w:tc>
          <w:tcPr>
            <w:tcW w:w="1700" w:type="dxa"/>
            <w:vAlign w:val="bottom"/>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9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r>
      <w:tr>
        <w:trPr>
          <w:trHeight w:val="21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 000's</w:t>
            </w:r>
          </w:p>
        </w:tc>
        <w:tc>
          <w:tcPr>
            <w:tcW w:w="1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Number of customer accounts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2,526.7</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2,657.5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2,696.1</w:t>
            </w:r>
          </w:p>
        </w:tc>
        <w:tc>
          <w:tcPr>
            <w:tcW w:w="12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customers with deposits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1,253.9</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2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Number of options and futures contracts traded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20,400.7</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26,751.6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23,992.2</w:t>
            </w:r>
          </w:p>
        </w:tc>
        <w:tc>
          <w:tcPr>
            <w:tcW w:w="12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Trading volume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217,453.6</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316,599.0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323,907.4</w:t>
            </w:r>
          </w:p>
        </w:tc>
        <w:tc>
          <w:tcPr>
            <w:tcW w:w="120" w:type="dxa"/>
            <w:vAlign w:val="bottom"/>
          </w:tcPr>
          <w:p>
            <w:pPr>
              <w:spacing w:after="0"/>
              <w:rPr>
                <w:sz w:val="18"/>
                <w:szCs w:val="18"/>
                <w:color w:val="auto"/>
              </w:rPr>
            </w:pPr>
          </w:p>
        </w:tc>
      </w:tr>
      <w:tr>
        <w:trPr>
          <w:trHeight w:val="216"/>
        </w:trPr>
        <w:tc>
          <w:tcPr>
            <w:tcW w:w="5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Trading volume of stocks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59,453.4</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79,637.7</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92,160.7</w:t>
            </w:r>
          </w:p>
        </w:tc>
        <w:tc>
          <w:tcPr>
            <w:tcW w:w="120" w:type="dxa"/>
            <w:vAlign w:val="bottom"/>
            <w:shd w:val="clear" w:color="auto" w:fill="CFF0FC"/>
          </w:tcPr>
          <w:p>
            <w:pPr>
              <w:spacing w:after="0"/>
              <w:rPr>
                <w:sz w:val="18"/>
                <w:szCs w:val="18"/>
                <w:color w:val="auto"/>
              </w:rPr>
            </w:pP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 balance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45,861.9</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60,806.7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58,880.0</w:t>
            </w:r>
          </w:p>
        </w:tc>
        <w:tc>
          <w:tcPr>
            <w:tcW w:w="120" w:type="dxa"/>
            <w:vAlign w:val="bottom"/>
          </w:tcPr>
          <w:p>
            <w:pPr>
              <w:spacing w:after="0"/>
              <w:rPr>
                <w:sz w:val="20"/>
                <w:szCs w:val="20"/>
                <w:color w:val="auto"/>
              </w:rPr>
            </w:pPr>
          </w:p>
        </w:tc>
      </w:tr>
      <w:tr>
        <w:trPr>
          <w:trHeight w:val="394"/>
        </w:trPr>
        <w:tc>
          <w:tcPr>
            <w:tcW w:w="5560" w:type="dxa"/>
            <w:vAlign w:val="bottom"/>
          </w:tcPr>
          <w:p>
            <w:pPr>
              <w:spacing w:after="0"/>
              <w:rPr>
                <w:sz w:val="24"/>
                <w:szCs w:val="24"/>
                <w:color w:val="auto"/>
              </w:rPr>
            </w:pPr>
          </w:p>
        </w:tc>
        <w:tc>
          <w:tcPr>
            <w:tcW w:w="1700" w:type="dxa"/>
            <w:vAlign w:val="bottom"/>
          </w:tcPr>
          <w:p>
            <w:pPr>
              <w:jc w:val="right"/>
              <w:ind w:right="1511"/>
              <w:spacing w:after="0"/>
              <w:rPr>
                <w:sz w:val="20"/>
                <w:szCs w:val="20"/>
                <w:color w:val="auto"/>
              </w:rPr>
            </w:pPr>
            <w:r>
              <w:rPr>
                <w:rFonts w:ascii="Times New Roman" w:cs="Times New Roman" w:eastAsia="Times New Roman" w:hAnsi="Times New Roman"/>
                <w:sz w:val="16"/>
                <w:szCs w:val="16"/>
                <w:color w:val="auto"/>
                <w:w w:val="99"/>
              </w:rPr>
              <w:t>2</w:t>
            </w: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71"/>
        </w:trPr>
        <w:tc>
          <w:tcPr>
            <w:tcW w:w="5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First Quarter 2026 Financial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revenues were US$154.9 million, an increase of 26.3% from US$122.6 million in the same quarter of last year.</w:t>
      </w:r>
    </w:p>
    <w:p>
      <w:pPr>
        <w:spacing w:after="0" w:line="18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Commissions were US$67.2 million, an increase of 15.3% from US$58.3 million in the same quarter of last year, due to an increase in trading volume.</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Financing service fees were US$2.4 million, a decrease of 4.6% from US$2.6 million in the same quarter of last year, primarily due to a decrease of the account balance of our fully disclosed account customers.</w:t>
      </w:r>
    </w:p>
    <w:p>
      <w:pPr>
        <w:spacing w:after="0" w:line="11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Interest income was US$64.5 million, an increase of 19.8% from US$53.8 million in the same quarter of last year, primarily due to the increase in margin financing and securities lending activities of our consolidated account customers.</w:t>
      </w:r>
    </w:p>
    <w:p>
      <w:pPr>
        <w:spacing w:after="0" w:line="13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Other revenues were US$20.7 million, an increase of 161.4% from US$7.9 million in the same quarter of last year, primarily due to the increase of our wealth management service revenue.</w:t>
      </w:r>
    </w:p>
    <w:p>
      <w:pPr>
        <w:spacing w:after="0" w:line="11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Interest expense was US$18.1 million, an increase of 20.6% from US$15.0 million in the same quarter of last year, primarily due to the increase in funding for margin financing activities.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COSTS AND EXPENSES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operating costs and expenses were US$89.2 million, an increase of 32.9% from US$67.1 million in the same quarter of last year.</w:t>
      </w:r>
    </w:p>
    <w:p>
      <w:pPr>
        <w:spacing w:after="0" w:line="17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Execution and clearing expenses were US$5.0 million, a decrease of 5.5% from US$5.3 million in the same quarter of last year due to more self-clearing of US and HK equities.</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Employee compensation and benefits expenses were US$46.8 million, an increase of 38.5% from US$33.8 million in the same quarter of last year, primarily due to higher performance-based bonus accruals and the increase of global headcount to support our global expansion.</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Occupancy, depreciation and amortization expenses were US$2.7 million, an increase of 24.9% from US$2.1 million in the same quarter of last year, due to the increase in office space and relevant leasehold improvements.</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Communication and market data expenses were US$13.6 million, an increase of 38.9% from US$9.8 million in the same quarter of last year due to increased IT-related service fees.</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Marketing and branding expenses were US$14.0 million, an increase of 28.9% from US$10.9 million in the same quarter of last year, primarily due to higher marketing spending this quarter.</w:t>
      </w:r>
    </w:p>
    <w:p>
      <w:pPr>
        <w:spacing w:after="0" w:line="13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General and administrative expenses were US$7.0 million, an increase of 36.8% from US$5.1 million in the same quarter of last year due to increased travel expenses and other professional services.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LOSS/INCOME ATTRIBUTABLE TO ORDINARY SHAREHOLDERS OF UP FINTECH</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Net loss attributable to ordinary shareholders of UP Fintech was US$26.9 million, as compared to a net income attributable to ordinary shareholders of UP Fintech of US$30.4 million in the same quarter of last year. Net loss per ADS (1 ADS represents 15 Class A ordinary shares) – diluted was US$0.151, as compared to a net income per ADS – diluted of US$0.166 in the same quarter of last year.</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Non-GAAP net loss attributable to ordinary shareholders of UP Fintech, which excludes share-based compensation, was US$23.8 million, as compared to US$36.0 million non-GAAP net income attributable to ordinary shareholders of UP Fintech in the same quarter of last year. Non-GAAP net loss per ADS – diluted was US$0.134 as compared to a non-GAAP net income per ADS – diluted of US$0.198 in the same quarter of last year.</w:t>
      </w:r>
    </w:p>
    <w:p>
      <w:pPr>
        <w:spacing w:after="0" w:line="139"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For the first quarter of 2026, the Company’s weighted average number of ADSs used in calculating non-GAAP net loss per ADS – diluted was 177,975,928. As of March 31, 2026, the Company had a total of 2,680,509,912 Class A and B ordinary shares outstanding, or the equivalent of 178,700,661 ADSs.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CERTAIN OTHER FINANCIAL ITEMS</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March 31, 2026, the Company's cash and cash equivalents and term deposits were US$598.1 million, compared to US$793.1 million as of December 31,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DEVELOPMENT</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previously disclosed, on May 22, 2026, certain subsidiaries of the Company received notices from the China Securities Regulatory Commission Beijing Bureau (the “CSRC Beijing Bureau”) indicating that the CSRC Beijing Bureau had initiated an investigation into their suspected illegal operations of securities, fund and futures business, and found that these subsidiaries had conducted unlicensed cross-border securities business and illegal activities relating to the fund and futures business in mainland China. Based on its findings, the CSRC Beijing Bureau has imposed administrative penalties in the aggregate amount of approximately RMB308.1 million and confiscation of illegal income in the aggregate amount of approximately RMB103.1 million. The unaudited financial statements for the three months ended March 31, 2026 included in this earnings release have reflected the impact of this subsequent event. These amounts were included in “Others, net” of the unaudited condensed consolidated statements of comprehensive income for the three months ended March 31, 2026.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June 1, 2026, the Company's board of directors approved a share repurchase program (the "Repurchase Program"), under which the Company may repurchase its Class A ordinary shares, including in the form of ADSs, with an aggregate value of up to US$50 million for a period of 12 months from June 1, 2026 to June 1, 2027. The Company expects to fund the repurchases out of its existing cash balance.</w:t>
      </w:r>
    </w:p>
    <w:p>
      <w:pPr>
        <w:spacing w:after="0" w:line="1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Under the Repurchase Program, the Company may repurchase its Class A ordinary shares, including in the form of ADSs, from time to time through various means, including open market transactions, privately negotiated transactions, block trades, and/or any combination thereof, in compliance with applicable laws and regulations. The number of Class A ordinary shares repurchased, including in the form of ADSs, and the timing of repurchases will depend on a number of factors, including, but not limited to, price, trading volume and general market conditions, along with the Company's general business conditions and other factors. The Company’s board of directors will review the Repurchase Program periodically, and may authorize adjustment of its terms and size, or suspend or discontinue the Repurchase Program at any time, subject to applicable laws, rules and regulations and the Company’s internal policies.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UP Fintech’s management will hold an earnings conference call at 8:00 AM on June 2, 2026, U.S. Eastern Time (8:00 PM on June 2, 2026, Singapore/Hong Kong Time).</w:t>
      </w:r>
    </w:p>
    <w:p>
      <w:pPr>
        <w:spacing w:after="0" w:line="13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All participants wishing to attend the call must preregister online before receiving the dial-in number. Preregistration may take a few minutes to complete.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333333"/>
        </w:rPr>
        <w:t>Preregistration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note that all participants will need to pre-register for the conference call, using the link</w:t>
      </w:r>
      <w:r>
        <w:rPr>
          <w:rFonts w:ascii="Times New Roman" w:cs="Times New Roman" w:eastAsia="Times New Roman" w:hAnsi="Times New Roman"/>
          <w:sz w:val="20"/>
          <w:szCs w:val="20"/>
          <w:color w:val="333333"/>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https://register-conf.media-server.com/register/BI1221db57899b4bcf85a953ae4c200d14</w:t>
      </w:r>
    </w:p>
    <w:p>
      <w:pPr>
        <w:spacing w:after="0" w:line="16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It will automatically lead to the registration page of "UP Fintech Holding Limited First Quarter 2026 Earnings Conference Call", where details for RSVP are needed.</w:t>
      </w:r>
    </w:p>
    <w:p>
      <w:pPr>
        <w:spacing w:after="0" w:line="11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Upon registering, all participants will be provided a confirmation email with a participant dial-in number and personal PIN to access the conference call. Please dial in 10 minutes prior to the call start time using the conference access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a live and archived webcast of the conference call will be available at https://ir.itigerup.com</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t>Use of Non-GAAP Financial Measures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evaluating our business, we consider and use non-GAAP net loss or income attributable to ordinary shareholders of UP Fintech and non-GAAP net loss or income per ADS - diluted as supplemental measures to review and assess our operating performance. The presentation of the non-GAAP financial measures is not intended to be considered in isolation or as a substitute for the financial information prepared and presented in accordance with the United States Generally Accepted Accounting Principles (“U.S. GAAP”). We define non-GAAP net loss or income attributable to ordinary shareholders of UP Fintech as net loss or income attributable to ordinary shareholders of UP Fintech excluding share-based compensation. Non-GAAP net loss or income per ADS - diluted is non-GAAP net loss or income attributable to ordinary shareholders of UP Fintech divided by the weighted average number of diluted ADSs.</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present these non-GAAP financial measures because they are used by our management to evaluate our operating performance and formulate business plans. Non-GAAP net loss or income attributable to ordinary shareholders of UP Fintech enables our management to assess our operating results without considering the impact of share-based compensation. We also believe that the use of these non-GAAP financial measures facilitates investors' assessment of our operating performance.</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These non-GAAP financial measures are not defined under U.S. GAAP and are not presented in accordance with U.S. GAAP. These non-GAAP financial measures have limitations as an analytical tool. One of the key limitations of using these non-GAAP financial measures is that they do not reflect all items of income and expenses that affect our operations. Share-based compensation has been and may continue to be incurred in our business and are not reflected in the presentation of non-GAAP net loss or income attributable to ordinary shareholders of UP Fintech. Further, these non-GAAP financial measures may differ from the non-GAAP financial information used by other companies, including peer companies, and therefore their comparability may be limited.</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These non-GAAP financial measures should not be considered in isolation or construed as alternatives to total operating costs and expenses, net loss or income attributable to ordinary shareholders of UP Fintech or any other measure of performance or as an indicator of our operating performance. Investors are encouraged to review these historical non-GAAP financial measures in light of the most directly comparable GAAP measures. These non-GAAP financial measures presented here may not be comparable to similarly titled measures presented by other companies. Other companies may calculate similarly titled measures differently, limiting the usefulness of such measures when analyzing our data comparatively. We encourage investors and others to review our financial information in its entirety and not rely on a single financial measure.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UP Fintech Holding Limited</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UP Fintech Holding Limited is a leading online brokerage firm focusing on global investors. The Company’s proprietary mobile and online trading platform enables investors to trade in equities and other financial instruments on multiple exchanges around the world. The Company offers innovative products and services as well as a superior user experience to customers through its “mobile first” strategy, which enables it to better serve and retain current customers as well as attract new ones. The Company offers customers comprehensive brokerage and value-added services, including trade order placement and execution, margin financing, IPO subscription, ESOP management, investor education, community discussion and customer support. The Company’s proprietary infrastructure and advanced technology are able to support trades across multiple currencies, multiple markets, multiple products, multiple execution venues and multiple clearinghouses.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on the Company, please visit: https://ir.itigerup.com.</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t>Safe Harbor Statement</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announcement contains forward−looking statements. These statements are made under the “safe harbor” provisions of the U.S. Private Securities Litigation Reform Act of 1995. These forward−looking statements can be identified by terminology such as “may,” “might,” “aim,” “likely to,” “will,” “expects,” “anticipates,” “future,” “intends,” “plans,” “believes,” “estimates” and similar statements or expressions. Among other statements, the business outlook and quotations from management in this announcement, the Company’s strategic and operational plans and expectations regarding growth and expansion of its business lines, and the Company’s plans for future financing of its business contain forward-looking statements. The Company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including the earnings conference call.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ability to effectively implement its growth strategies; trends and competition in global financial markets; changes in inflation and interest rate; technological advancements; changes in the Company’s revenues and certain cost or expense accounting policies and governmental policies and regulations affecting the Company’s industry and general economic conditions in China, Singapore and other countries; changes in geopolitical policies and conditions; rapid developments in the AI, virtual currency and blockchain industries. Further information regarding these and other risks is included in the Company’s filings with the SEC, including the Company’s annual report on Form 20-F filed with the SEC on April 24, 2026. All information provided in this press release and in the attachments is as of the date of this press release, and the Company undertakes no obligation to update any forward-looking statement, except as required under applicable law. Further information regarding these and other risks is included in the Company’s filings with the SEC.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 and media inquiries please contact: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 Fintech Holding Limited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ir@itiger.com</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620" w:type="dxa"/>
            <w:vAlign w:val="bottom"/>
            <w:tcBorders>
              <w:top w:val="single" w:sz="8" w:color="auto"/>
            </w:tcBorders>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9"/>
              </w:rPr>
              <w:t>UP FINTECH HOLDING LIMITED</w:t>
            </w:r>
          </w:p>
        </w:tc>
        <w:tc>
          <w:tcPr>
            <w:tcW w:w="16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BALANCE SHEETS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20" w:type="dxa"/>
            <w:vAlign w:val="bottom"/>
          </w:tcPr>
          <w:p>
            <w:pPr>
              <w:jc w:val="center"/>
              <w:ind w:left="3530"/>
              <w:spacing w:after="0"/>
              <w:rPr>
                <w:sz w:val="20"/>
                <w:szCs w:val="20"/>
                <w:color w:val="auto"/>
              </w:rPr>
            </w:pPr>
            <w:r>
              <w:rPr>
                <w:rFonts w:ascii="Times New Roman" w:cs="Times New Roman" w:eastAsia="Times New Roman" w:hAnsi="Times New Roman"/>
                <w:sz w:val="18"/>
                <w:szCs w:val="18"/>
                <w:b w:val="1"/>
                <w:bCs w:val="1"/>
                <w:color w:val="auto"/>
              </w:rPr>
              <w:t>(All amounts in U.S. dollars ("US$"))</w:t>
            </w:r>
          </w:p>
        </w:tc>
        <w:tc>
          <w:tcPr>
            <w:tcW w:w="1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194"/>
        </w:trPr>
        <w:tc>
          <w:tcPr>
            <w:tcW w:w="76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18"/>
                <w:szCs w:val="18"/>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76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791,016,893</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595,974,411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Cash-segregated for regulatory purpose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3,401,889,322</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3,897,654,293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deposits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2,061,474</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Receivables from customers (net of allowance of US$5,050,501 and</w:t>
            </w:r>
          </w:p>
        </w:tc>
        <w:tc>
          <w:tcPr>
            <w:tcW w:w="1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US$5,044,026 as of December 31, 2025 and March 31, 2026)</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1,785,416,288</w:t>
            </w: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1,851,557,353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from brokers, dealers, and clearing organizations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2,032,966,861</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2,185,128,995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Financial instruments held, at fair value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85,541,628</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202,572,083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33,956,983</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29,345,591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19,077,760</w:t>
            </w:r>
          </w:p>
        </w:tc>
        <w:tc>
          <w:tcPr>
            <w:tcW w:w="24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23,951,224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8,151,927,209</w:t>
            </w:r>
          </w:p>
        </w:tc>
        <w:tc>
          <w:tcPr>
            <w:tcW w:w="24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8,788,262,527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11,674,596</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equipment and intangible assets, net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14,364,025</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13,941,843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Crypto assets held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4,339,298</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2,492,668</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2,492,668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investments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9,810,822</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Equity method investment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10,585,414</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10,713,656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10,932,109</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13,638,718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10,404,896</w:t>
            </w:r>
          </w:p>
        </w:tc>
        <w:tc>
          <w:tcPr>
            <w:tcW w:w="24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8,804,181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74,603,828</w:t>
            </w:r>
          </w:p>
        </w:tc>
        <w:tc>
          <w:tcPr>
            <w:tcW w:w="24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73,440,899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8,226,531,037</w:t>
            </w:r>
          </w:p>
        </w:tc>
        <w:tc>
          <w:tcPr>
            <w:tcW w:w="24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8,861,703,426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6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Payables to customers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5,095,965,998</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5,988,068,632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Payables to brokers, dealers and clearing organizations: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1,903,912,312</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1,735,505,600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111,689,582</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169,128,871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liabilities-current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6,777,918</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Convertible bonds-current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111,178,103</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69,935,059</w:t>
            </w:r>
          </w:p>
        </w:tc>
        <w:tc>
          <w:tcPr>
            <w:tcW w:w="24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53,194,936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7,299,458,972</w:t>
            </w:r>
          </w:p>
        </w:tc>
        <w:tc>
          <w:tcPr>
            <w:tcW w:w="24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7,956,715,610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bonds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51,000,000</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52,767,757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liabilities-non-current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4,198,997</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2,589,051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1,694,325</w:t>
            </w:r>
          </w:p>
        </w:tc>
        <w:tc>
          <w:tcPr>
            <w:tcW w:w="24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7,356,352,294</w:t>
            </w:r>
          </w:p>
        </w:tc>
        <w:tc>
          <w:tcPr>
            <w:tcW w:w="24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8,014,032,395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4,946,478</w:t>
            </w:r>
          </w:p>
        </w:tc>
        <w:tc>
          <w:tcPr>
            <w:tcW w:w="24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5,137,047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4,946,478</w:t>
            </w:r>
          </w:p>
        </w:tc>
        <w:tc>
          <w:tcPr>
            <w:tcW w:w="24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5,137,047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ordinary shares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25,802</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Class B ordinary shares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634,203,244</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639,067,499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Statutory reserve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15,587,049</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15,587,049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208,408,915</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181,665,435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Treasury stock</w:t>
            </w: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(2,172,819)</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(2,172,819)</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9,454,230</w:t>
            </w:r>
          </w:p>
        </w:tc>
        <w:tc>
          <w:tcPr>
            <w:tcW w:w="24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8,634,670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UP Fintech shareholders’ equity</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865,507,397</w:t>
            </w:r>
          </w:p>
        </w:tc>
        <w:tc>
          <w:tcPr>
            <w:tcW w:w="24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842,808,639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(275,132)</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(274,655)</w:t>
            </w:r>
          </w:p>
        </w:tc>
        <w:tc>
          <w:tcPr>
            <w:tcW w:w="0" w:type="dxa"/>
            <w:vAlign w:val="bottom"/>
          </w:tcPr>
          <w:p>
            <w:pPr>
              <w:spacing w:after="0"/>
              <w:rPr>
                <w:sz w:val="1"/>
                <w:szCs w:val="1"/>
                <w:color w:val="auto"/>
              </w:rPr>
            </w:pPr>
          </w:p>
        </w:tc>
      </w:tr>
      <w:tr>
        <w:trPr>
          <w:trHeight w:val="209"/>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865,232,265</w:t>
            </w:r>
          </w:p>
        </w:tc>
        <w:tc>
          <w:tcPr>
            <w:tcW w:w="24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842,533,984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equity</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8,226,531,037</w:t>
            </w:r>
          </w:p>
        </w:tc>
        <w:tc>
          <w:tcPr>
            <w:tcW w:w="24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8,861,703,426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jc w:val="center"/>
              <w:ind w:left="3530"/>
              <w:spacing w:after="0"/>
              <w:rPr>
                <w:sz w:val="20"/>
                <w:szCs w:val="20"/>
                <w:color w:val="auto"/>
              </w:rPr>
            </w:pPr>
            <w:r>
              <w:rPr>
                <w:rFonts w:ascii="Times New Roman" w:cs="Times New Roman" w:eastAsia="Times New Roman" w:hAnsi="Times New Roman"/>
                <w:sz w:val="16"/>
                <w:szCs w:val="16"/>
                <w:color w:val="auto"/>
                <w:w w:val="99"/>
              </w:rPr>
              <w:t>7</w:t>
            </w: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2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1"/>
        </w:trPr>
        <w:tc>
          <w:tcPr>
            <w:tcW w:w="76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-6411595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-6411595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-5022850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-5022850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-4731385</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-4714240</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-4731385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-4714240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-3599815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-3034030</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-2750820</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-1353820</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-1062355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0" w:name="page11"/>
    <w:bookmarkEnd w:id="10"/>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UP FINTECH HOLDING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INCOME/(LOSS)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(All amounts in U.S. dollars ("US$"), except for number of shares (or ADSs) and per share (or ADS)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40" w:type="dxa"/>
            <w:vAlign w:val="bottom"/>
            <w:gridSpan w:val="2"/>
          </w:tcPr>
          <w:p>
            <w:pPr>
              <w:jc w:val="center"/>
              <w:ind w:right="159"/>
              <w:spacing w:after="0" w:line="181"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174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5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2100" w:type="dxa"/>
            <w:vAlign w:val="bottom"/>
            <w:gridSpan w:val="2"/>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22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22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5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Commissions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58,307,151</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70,831,784</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67,217,154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 related income</w:t>
            </w:r>
          </w:p>
        </w:tc>
        <w:tc>
          <w:tcPr>
            <w:tcW w:w="5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Financing service fees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2,560,432</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2,665,790</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2,442,048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53,805,393</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71,278,563</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64,474,818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revenues</w:t>
            </w:r>
          </w:p>
        </w:tc>
        <w:tc>
          <w:tcPr>
            <w:tcW w:w="58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7,936,987</w:t>
            </w:r>
          </w:p>
        </w:tc>
        <w:tc>
          <w:tcPr>
            <w:tcW w:w="22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30,798,536</w:t>
            </w:r>
          </w:p>
        </w:tc>
        <w:tc>
          <w:tcPr>
            <w:tcW w:w="22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20,744,620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122,609,963</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175,574,673</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154,878,640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580" w:type="dxa"/>
            <w:vAlign w:val="bottom"/>
          </w:tcPr>
          <w:p>
            <w:pPr>
              <w:spacing w:after="0"/>
              <w:rPr>
                <w:sz w:val="17"/>
                <w:szCs w:val="17"/>
                <w:color w:val="auto"/>
              </w:rPr>
            </w:pPr>
          </w:p>
        </w:tc>
        <w:tc>
          <w:tcPr>
            <w:tcW w:w="17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(15,041,810)</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(19,033,392)</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(18,143,780)</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Net revenues</w:t>
            </w:r>
          </w:p>
        </w:tc>
        <w:tc>
          <w:tcPr>
            <w:tcW w:w="58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107,568,153</w:t>
            </w:r>
          </w:p>
        </w:tc>
        <w:tc>
          <w:tcPr>
            <w:tcW w:w="22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156,541,281</w:t>
            </w:r>
          </w:p>
        </w:tc>
        <w:tc>
          <w:tcPr>
            <w:tcW w:w="22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136,734,860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Execution and clearing</w:t>
            </w:r>
          </w:p>
        </w:tc>
        <w:tc>
          <w:tcPr>
            <w:tcW w:w="2320" w:type="dxa"/>
            <w:vAlign w:val="bottom"/>
            <w:gridSpan w:val="3"/>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(5,338,917)</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(5,322,380)</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(5,042,802)</w:t>
            </w:r>
          </w:p>
        </w:tc>
        <w:tc>
          <w:tcPr>
            <w:tcW w:w="0" w:type="dxa"/>
            <w:vAlign w:val="bottom"/>
          </w:tcPr>
          <w:p>
            <w:pPr>
              <w:spacing w:after="0"/>
              <w:rPr>
                <w:sz w:val="1"/>
                <w:szCs w:val="1"/>
                <w:color w:val="auto"/>
              </w:rPr>
            </w:pP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3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(33,805,808)</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(50,325,415)</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(46,824,633)</w:t>
            </w:r>
          </w:p>
        </w:tc>
        <w:tc>
          <w:tcPr>
            <w:tcW w:w="0" w:type="dxa"/>
            <w:vAlign w:val="bottom"/>
          </w:tcPr>
          <w:p>
            <w:pPr>
              <w:spacing w:after="0"/>
              <w:rPr>
                <w:sz w:val="1"/>
                <w:szCs w:val="1"/>
                <w:color w:val="auto"/>
              </w:rPr>
            </w:pPr>
          </w:p>
        </w:tc>
      </w:tr>
      <w:tr>
        <w:trPr>
          <w:trHeight w:val="202"/>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Occupancy, depreciation and amortization</w:t>
            </w:r>
          </w:p>
        </w:tc>
        <w:tc>
          <w:tcPr>
            <w:tcW w:w="2320" w:type="dxa"/>
            <w:vAlign w:val="bottom"/>
            <w:gridSpan w:val="3"/>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(2,149,308)</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(2,853,458)</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(2,684,990)</w:t>
            </w:r>
          </w:p>
        </w:tc>
        <w:tc>
          <w:tcPr>
            <w:tcW w:w="0" w:type="dxa"/>
            <w:vAlign w:val="bottom"/>
          </w:tcPr>
          <w:p>
            <w:pPr>
              <w:spacing w:after="0"/>
              <w:rPr>
                <w:sz w:val="1"/>
                <w:szCs w:val="1"/>
                <w:color w:val="auto"/>
              </w:rPr>
            </w:pP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Communication and market data</w:t>
            </w:r>
          </w:p>
        </w:tc>
        <w:tc>
          <w:tcPr>
            <w:tcW w:w="23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(9,794,869)</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(14,488,775)</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(13,600,445)</w:t>
            </w: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Marketing and branding</w:t>
            </w:r>
          </w:p>
        </w:tc>
        <w:tc>
          <w:tcPr>
            <w:tcW w:w="2320" w:type="dxa"/>
            <w:vAlign w:val="bottom"/>
            <w:gridSpan w:val="3"/>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(10,867,048)</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(15,831,013)</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(14,007,796)</w:t>
            </w:r>
          </w:p>
        </w:tc>
        <w:tc>
          <w:tcPr>
            <w:tcW w:w="0" w:type="dxa"/>
            <w:vAlign w:val="bottom"/>
          </w:tcPr>
          <w:p>
            <w:pPr>
              <w:spacing w:after="0"/>
              <w:rPr>
                <w:sz w:val="1"/>
                <w:szCs w:val="1"/>
                <w:color w:val="auto"/>
              </w:rPr>
            </w:pP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80" w:type="dxa"/>
            <w:vAlign w:val="bottom"/>
          </w:tcPr>
          <w:p>
            <w:pPr>
              <w:spacing w:after="0"/>
              <w:rPr>
                <w:sz w:val="17"/>
                <w:szCs w:val="17"/>
                <w:color w:val="auto"/>
              </w:rPr>
            </w:pPr>
          </w:p>
        </w:tc>
        <w:tc>
          <w:tcPr>
            <w:tcW w:w="17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(5,136,346)</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(14,026,279)</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(7,025,613)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operating costs and expenses</w:t>
            </w:r>
          </w:p>
        </w:tc>
        <w:tc>
          <w:tcPr>
            <w:tcW w:w="58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(67,092,296)</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(102,847,320)</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(89,186,279)</w:t>
            </w:r>
          </w:p>
        </w:tc>
        <w:tc>
          <w:tcPr>
            <w:tcW w:w="0" w:type="dxa"/>
            <w:vAlign w:val="bottom"/>
          </w:tcPr>
          <w:p>
            <w:pPr>
              <w:spacing w:after="0"/>
              <w:rPr>
                <w:sz w:val="1"/>
                <w:szCs w:val="1"/>
                <w:color w:val="auto"/>
              </w:rPr>
            </w:pPr>
          </w:p>
        </w:tc>
      </w:tr>
      <w:tr>
        <w:trPr>
          <w:trHeight w:val="196"/>
        </w:trPr>
        <w:tc>
          <w:tcPr>
            <w:tcW w:w="5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580" w:type="dxa"/>
            <w:vAlign w:val="bottom"/>
            <w:tcBorders>
              <w:top w:val="single" w:sz="8" w:color="CFF0FC"/>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Others, net</w:t>
            </w:r>
          </w:p>
        </w:tc>
        <w:tc>
          <w:tcPr>
            <w:tcW w:w="58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(1,340,064)</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435,182</w:t>
            </w:r>
          </w:p>
        </w:tc>
        <w:tc>
          <w:tcPr>
            <w:tcW w:w="2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(64,096,122)</w:t>
            </w:r>
          </w:p>
        </w:tc>
        <w:tc>
          <w:tcPr>
            <w:tcW w:w="0" w:type="dxa"/>
            <w:vAlign w:val="bottom"/>
          </w:tcPr>
          <w:p>
            <w:pPr>
              <w:spacing w:after="0"/>
              <w:rPr>
                <w:sz w:val="1"/>
                <w:szCs w:val="1"/>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(loss) before income tax</w:t>
            </w:r>
          </w:p>
        </w:tc>
        <w:tc>
          <w:tcPr>
            <w:tcW w:w="5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39,135,793</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54,129,143</w:t>
            </w:r>
          </w:p>
        </w:tc>
        <w:tc>
          <w:tcPr>
            <w:tcW w:w="220" w:type="dxa"/>
            <w:vAlign w:val="bottom"/>
          </w:tcPr>
          <w:p>
            <w:pPr>
              <w:spacing w:after="0"/>
              <w:rPr>
                <w:sz w:val="17"/>
                <w:szCs w:val="17"/>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(16,547,541)</w:t>
            </w: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Income tax expenses</w:t>
            </w:r>
          </w:p>
        </w:tc>
        <w:tc>
          <w:tcPr>
            <w:tcW w:w="58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(8,549,158)</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(8,763,336)</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(10,186,323)</w:t>
            </w:r>
          </w:p>
        </w:tc>
        <w:tc>
          <w:tcPr>
            <w:tcW w:w="0" w:type="dxa"/>
            <w:vAlign w:val="bottom"/>
          </w:tcPr>
          <w:p>
            <w:pPr>
              <w:spacing w:after="0"/>
              <w:rPr>
                <w:sz w:val="1"/>
                <w:szCs w:val="1"/>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5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30,586,635</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45,365,807</w:t>
            </w:r>
          </w:p>
        </w:tc>
        <w:tc>
          <w:tcPr>
            <w:tcW w:w="220" w:type="dxa"/>
            <w:vAlign w:val="bottom"/>
          </w:tcPr>
          <w:p>
            <w:pPr>
              <w:spacing w:after="0"/>
              <w:rPr>
                <w:sz w:val="17"/>
                <w:szCs w:val="17"/>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(26,733,864)</w:t>
            </w: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11,527</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15,299</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Accretion of redeemable non-controlling interests to redemption value</w:t>
            </w:r>
          </w:p>
        </w:tc>
        <w:tc>
          <w:tcPr>
            <w:tcW w:w="580" w:type="dxa"/>
            <w:vAlign w:val="bottom"/>
          </w:tcPr>
          <w:p>
            <w:pPr>
              <w:spacing w:after="0"/>
              <w:rPr>
                <w:sz w:val="17"/>
                <w:szCs w:val="17"/>
                <w:color w:val="auto"/>
              </w:rPr>
            </w:pPr>
          </w:p>
        </w:tc>
        <w:tc>
          <w:tcPr>
            <w:tcW w:w="17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(155,983)</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(118,370)</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(111,189)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 (loss) attributable to ordinary shareholders of UP Fintech</w:t>
            </w:r>
          </w:p>
        </w:tc>
        <w:tc>
          <w:tcPr>
            <w:tcW w:w="58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30,419,125</w:t>
            </w:r>
          </w:p>
        </w:tc>
        <w:tc>
          <w:tcPr>
            <w:tcW w:w="22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45,232,138</w:t>
            </w:r>
          </w:p>
        </w:tc>
        <w:tc>
          <w:tcPr>
            <w:tcW w:w="2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(26,854,669)</w:t>
            </w:r>
          </w:p>
        </w:tc>
        <w:tc>
          <w:tcPr>
            <w:tcW w:w="0" w:type="dxa"/>
            <w:vAlign w:val="bottom"/>
          </w:tcPr>
          <w:p>
            <w:pPr>
              <w:spacing w:after="0"/>
              <w:rPr>
                <w:sz w:val="1"/>
                <w:szCs w:val="1"/>
                <w:color w:val="auto"/>
              </w:rPr>
            </w:pPr>
          </w:p>
        </w:tc>
      </w:tr>
      <w:tr>
        <w:trPr>
          <w:trHeight w:val="183"/>
        </w:trPr>
        <w:tc>
          <w:tcPr>
            <w:tcW w:w="5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580" w:type="dxa"/>
            <w:vAlign w:val="bottom"/>
            <w:tcBorders>
              <w:top w:val="single" w:sz="8" w:color="CFF0FC"/>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Unrealized gain on available-for-sale investments</w:t>
            </w:r>
          </w:p>
        </w:tc>
        <w:tc>
          <w:tcPr>
            <w:tcW w:w="58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2,207,391</w:t>
            </w:r>
          </w:p>
        </w:tc>
        <w:tc>
          <w:tcPr>
            <w:tcW w:w="2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cumulative foreign currency translation adjustment</w:t>
            </w:r>
          </w:p>
        </w:tc>
        <w:tc>
          <w:tcPr>
            <w:tcW w:w="5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3,826,640</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4,428,703</w:t>
            </w:r>
          </w:p>
        </w:tc>
        <w:tc>
          <w:tcPr>
            <w:tcW w:w="220" w:type="dxa"/>
            <w:vAlign w:val="bottom"/>
          </w:tcPr>
          <w:p>
            <w:pPr>
              <w:spacing w:after="0"/>
              <w:rPr>
                <w:sz w:val="17"/>
                <w:szCs w:val="17"/>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(823,503)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5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34,413,275</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52,001,901</w:t>
            </w:r>
          </w:p>
        </w:tc>
        <w:tc>
          <w:tcPr>
            <w:tcW w:w="2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(27,557,367)</w:t>
            </w:r>
          </w:p>
        </w:tc>
        <w:tc>
          <w:tcPr>
            <w:tcW w:w="0" w:type="dxa"/>
            <w:vAlign w:val="bottom"/>
          </w:tcPr>
          <w:p>
            <w:pPr>
              <w:spacing w:after="0"/>
              <w:rPr>
                <w:sz w:val="1"/>
                <w:szCs w:val="1"/>
                <w:color w:val="auto"/>
              </w:rPr>
            </w:pP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9,845</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10,390</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Accretion of redeemable non-controlling interests to redemption value</w:t>
            </w:r>
          </w:p>
        </w:tc>
        <w:tc>
          <w:tcPr>
            <w:tcW w:w="58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(155,983)</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(118,370)</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(111,189)</w:t>
            </w:r>
          </w:p>
        </w:tc>
        <w:tc>
          <w:tcPr>
            <w:tcW w:w="0" w:type="dxa"/>
            <w:vAlign w:val="bottom"/>
          </w:tcPr>
          <w:p>
            <w:pPr>
              <w:spacing w:after="0"/>
              <w:rPr>
                <w:sz w:val="1"/>
                <w:szCs w:val="1"/>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54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Comprehensive income (loss) attributable to ordinary shareholders of UP</w:t>
            </w:r>
          </w:p>
        </w:tc>
        <w:tc>
          <w:tcPr>
            <w:tcW w:w="580" w:type="dxa"/>
            <w:vAlign w:val="bottom"/>
            <w:vMerge w:val="restart"/>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34,247,447</w:t>
            </w:r>
          </w:p>
        </w:tc>
        <w:tc>
          <w:tcPr>
            <w:tcW w:w="22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51,873,141</w:t>
            </w:r>
          </w:p>
        </w:tc>
        <w:tc>
          <w:tcPr>
            <w:tcW w:w="220" w:type="dxa"/>
            <w:vAlign w:val="bottom"/>
          </w:tcPr>
          <w:p>
            <w:pPr>
              <w:spacing w:after="0"/>
              <w:rPr>
                <w:sz w:val="15"/>
                <w:szCs w:val="15"/>
                <w:color w:val="auto"/>
              </w:rPr>
            </w:pPr>
          </w:p>
        </w:tc>
        <w:tc>
          <w:tcPr>
            <w:tcW w:w="1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(27,674,229)</w:t>
            </w:r>
          </w:p>
        </w:tc>
        <w:tc>
          <w:tcPr>
            <w:tcW w:w="0" w:type="dxa"/>
            <w:vAlign w:val="bottom"/>
          </w:tcPr>
          <w:p>
            <w:pPr>
              <w:spacing w:after="0"/>
              <w:rPr>
                <w:sz w:val="1"/>
                <w:szCs w:val="1"/>
                <w:color w:val="auto"/>
              </w:rPr>
            </w:pPr>
          </w:p>
        </w:tc>
      </w:tr>
      <w:tr>
        <w:trPr>
          <w:trHeight w:val="178"/>
        </w:trPr>
        <w:tc>
          <w:tcPr>
            <w:tcW w:w="5540" w:type="dxa"/>
            <w:vAlign w:val="bottom"/>
          </w:tcPr>
          <w:p>
            <w:pPr>
              <w:ind w:left="120"/>
              <w:spacing w:after="0" w:line="178" w:lineRule="exact"/>
              <w:rPr>
                <w:sz w:val="20"/>
                <w:szCs w:val="20"/>
                <w:color w:val="auto"/>
              </w:rPr>
            </w:pPr>
            <w:r>
              <w:rPr>
                <w:rFonts w:ascii="Times New Roman" w:cs="Times New Roman" w:eastAsia="Times New Roman" w:hAnsi="Times New Roman"/>
                <w:sz w:val="16"/>
                <w:szCs w:val="16"/>
                <w:b w:val="1"/>
                <w:bCs w:val="1"/>
                <w:color w:val="auto"/>
              </w:rPr>
              <w:t>Fintech</w:t>
            </w:r>
          </w:p>
        </w:tc>
        <w:tc>
          <w:tcPr>
            <w:tcW w:w="58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 (loss) per ordinary share:</w:t>
            </w:r>
          </w:p>
        </w:tc>
        <w:tc>
          <w:tcPr>
            <w:tcW w:w="5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0.012</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0.017</w:t>
            </w:r>
          </w:p>
        </w:tc>
        <w:tc>
          <w:tcPr>
            <w:tcW w:w="220" w:type="dxa"/>
            <w:vAlign w:val="bottom"/>
          </w:tcPr>
          <w:p>
            <w:pPr>
              <w:spacing w:after="0"/>
              <w:rPr>
                <w:sz w:val="17"/>
                <w:szCs w:val="17"/>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(0.010)</w:t>
            </w: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0.011</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0.016</w:t>
            </w:r>
          </w:p>
        </w:tc>
        <w:tc>
          <w:tcPr>
            <w:tcW w:w="2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(0.010)</w:t>
            </w:r>
          </w:p>
        </w:tc>
        <w:tc>
          <w:tcPr>
            <w:tcW w:w="0" w:type="dxa"/>
            <w:vAlign w:val="bottom"/>
          </w:tcPr>
          <w:p>
            <w:pPr>
              <w:spacing w:after="0"/>
              <w:rPr>
                <w:sz w:val="1"/>
                <w:szCs w:val="1"/>
                <w:color w:val="auto"/>
              </w:rPr>
            </w:pPr>
          </w:p>
        </w:tc>
      </w:tr>
      <w:tr>
        <w:trPr>
          <w:trHeight w:val="203"/>
        </w:trPr>
        <w:tc>
          <w:tcPr>
            <w:tcW w:w="5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(loss) per ADS (1 ADS represents 15 Class A ordinary shares):</w:t>
            </w: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0.173</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0.255</w:t>
            </w:r>
          </w:p>
        </w:tc>
        <w:tc>
          <w:tcPr>
            <w:tcW w:w="2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(0.151)</w:t>
            </w:r>
          </w:p>
        </w:tc>
        <w:tc>
          <w:tcPr>
            <w:tcW w:w="0" w:type="dxa"/>
            <w:vAlign w:val="bottom"/>
          </w:tcPr>
          <w:p>
            <w:pPr>
              <w:spacing w:after="0"/>
              <w:rPr>
                <w:sz w:val="1"/>
                <w:szCs w:val="1"/>
                <w:color w:val="auto"/>
              </w:rPr>
            </w:pP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0.166</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0.244</w:t>
            </w:r>
          </w:p>
        </w:tc>
        <w:tc>
          <w:tcPr>
            <w:tcW w:w="220" w:type="dxa"/>
            <w:vAlign w:val="bottom"/>
          </w:tcPr>
          <w:p>
            <w:pPr>
              <w:spacing w:after="0"/>
              <w:rPr>
                <w:sz w:val="17"/>
                <w:szCs w:val="17"/>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(0.151)</w:t>
            </w:r>
          </w:p>
        </w:tc>
        <w:tc>
          <w:tcPr>
            <w:tcW w:w="0" w:type="dxa"/>
            <w:vAlign w:val="bottom"/>
          </w:tcPr>
          <w:p>
            <w:pPr>
              <w:spacing w:after="0"/>
              <w:rPr>
                <w:sz w:val="1"/>
                <w:szCs w:val="1"/>
                <w:color w:val="auto"/>
              </w:rPr>
            </w:pPr>
          </w:p>
        </w:tc>
      </w:tr>
      <w:tr>
        <w:trPr>
          <w:trHeight w:val="187"/>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ordinary shares used in calculating net income</w:t>
            </w:r>
          </w:p>
        </w:tc>
        <w:tc>
          <w:tcPr>
            <w:tcW w:w="5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(loss) per ordinary share:</w:t>
            </w:r>
          </w:p>
        </w:tc>
        <w:tc>
          <w:tcPr>
            <w:tcW w:w="5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2,634,972,699</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2,664,351,020</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2,669,638,919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2,767,093,920</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2,819,097,516</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2,669,638,919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540" w:type="dxa"/>
            <w:vAlign w:val="bottom"/>
          </w:tcPr>
          <w:p>
            <w:pPr>
              <w:spacing w:after="0"/>
              <w:rPr>
                <w:sz w:val="24"/>
                <w:szCs w:val="24"/>
                <w:color w:val="auto"/>
              </w:rPr>
            </w:pPr>
          </w:p>
        </w:tc>
        <w:tc>
          <w:tcPr>
            <w:tcW w:w="5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8</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1"/>
        </w:trPr>
        <w:tc>
          <w:tcPr>
            <w:tcW w:w="55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-5356860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-5356860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-5356860</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-4311015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-4311015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-4311015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-4045585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-4045585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-4045585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-3779520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-3779520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-3779520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-3248025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-3230880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-3248025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-3230880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-3248025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-3230880</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-2442210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-2442210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-2442210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1" w:name="page12"/>
    <w:bookmarkEnd w:id="11"/>
    <w:p>
      <w:pPr>
        <w:jc w:val="center"/>
        <w:ind w:left="340" w:right="10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t>Reconciliations of Unaudited Non-GAAP Results of Operations Measures to the Nearest Comparable GAAP Measures (All amounts in U.S. dollars ("US$"), except for number of ADSs and per ADS data)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8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w:t>
            </w:r>
          </w:p>
        </w:tc>
        <w:tc>
          <w:tcPr>
            <w:tcW w:w="200" w:type="dxa"/>
            <w:vAlign w:val="bottom"/>
          </w:tcPr>
          <w:p>
            <w:pPr>
              <w:spacing w:after="0"/>
              <w:rPr>
                <w:sz w:val="18"/>
                <w:szCs w:val="18"/>
                <w:color w:val="auto"/>
              </w:rPr>
            </w:pPr>
          </w:p>
        </w:tc>
        <w:tc>
          <w:tcPr>
            <w:tcW w:w="28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38"/>
        </w:trPr>
        <w:tc>
          <w:tcPr>
            <w:tcW w:w="20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non-</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non-</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GAAP</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GAAP</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non-GAAP</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Adjustmen</w:t>
            </w:r>
          </w:p>
        </w:tc>
        <w:tc>
          <w:tcPr>
            <w:tcW w:w="2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non-</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Adjustmen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non-</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w:t>
            </w:r>
          </w:p>
        </w:tc>
        <w:tc>
          <w:tcPr>
            <w:tcW w:w="2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220" w:type="dxa"/>
            <w:vAlign w:val="bottom"/>
          </w:tcPr>
          <w:p>
            <w:pPr>
              <w:spacing w:after="0"/>
              <w:rPr>
                <w:sz w:val="20"/>
                <w:szCs w:val="20"/>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6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non-GAAP</w:t>
            </w: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260" w:type="dxa"/>
            <w:vAlign w:val="bottom"/>
          </w:tcPr>
          <w:p>
            <w:pPr>
              <w:spacing w:after="0"/>
              <w:rPr>
                <w:sz w:val="16"/>
                <w:szCs w:val="16"/>
                <w:color w:val="auto"/>
              </w:rPr>
            </w:pPr>
          </w:p>
        </w:tc>
        <w:tc>
          <w:tcPr>
            <w:tcW w:w="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200" w:type="dxa"/>
            <w:vAlign w:val="bottom"/>
          </w:tcPr>
          <w:p>
            <w:pPr>
              <w:spacing w:after="0"/>
              <w:rPr>
                <w:sz w:val="16"/>
                <w:szCs w:val="16"/>
                <w:color w:val="auto"/>
              </w:rPr>
            </w:pPr>
          </w:p>
        </w:tc>
        <w:tc>
          <w:tcPr>
            <w:tcW w:w="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260" w:type="dxa"/>
            <w:vAlign w:val="bottom"/>
          </w:tcPr>
          <w:p>
            <w:pPr>
              <w:spacing w:after="0"/>
              <w:rPr>
                <w:sz w:val="16"/>
                <w:szCs w:val="16"/>
                <w:color w:val="auto"/>
              </w:rPr>
            </w:pPr>
          </w:p>
        </w:tc>
        <w:tc>
          <w:tcPr>
            <w:tcW w:w="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6"/>
                <w:szCs w:val="16"/>
                <w:color w:val="auto"/>
              </w:rPr>
            </w:pPr>
          </w:p>
        </w:tc>
        <w:tc>
          <w:tcPr>
            <w:tcW w:w="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260" w:type="dxa"/>
            <w:vAlign w:val="bottom"/>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w:t>
            </w:r>
          </w:p>
        </w:tc>
        <w:tc>
          <w:tcPr>
            <w:tcW w:w="220" w:type="dxa"/>
            <w:vAlign w:val="bottom"/>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20" w:type="dxa"/>
            <w:vAlign w:val="bottom"/>
          </w:tcPr>
          <w:p>
            <w:pPr>
              <w:spacing w:after="0"/>
              <w:rPr>
                <w:sz w:val="20"/>
                <w:szCs w:val="20"/>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0" w:type="dxa"/>
            <w:vAlign w:val="bottom"/>
          </w:tcPr>
          <w:p>
            <w:pPr>
              <w:spacing w:after="0"/>
              <w:rPr>
                <w:sz w:val="1"/>
                <w:szCs w:val="1"/>
                <w:color w:val="auto"/>
              </w:rPr>
            </w:pPr>
          </w:p>
        </w:tc>
      </w:tr>
      <w:tr>
        <w:trPr>
          <w:trHeight w:val="198"/>
        </w:trPr>
        <w:tc>
          <w:tcPr>
            <w:tcW w:w="20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740" w:type="dxa"/>
            <w:vAlign w:val="bottom"/>
            <w:shd w:val="clear" w:color="auto" w:fill="CFF0FC"/>
          </w:tcPr>
          <w:p>
            <w:pPr>
              <w:spacing w:after="0"/>
              <w:rPr>
                <w:sz w:val="17"/>
                <w:szCs w:val="17"/>
                <w:color w:val="auto"/>
              </w:rPr>
            </w:pPr>
          </w:p>
        </w:tc>
        <w:tc>
          <w:tcPr>
            <w:tcW w:w="10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5,621,791</w:t>
            </w: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3,677,271</w:t>
            </w: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vMerge w:val="restart"/>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3,051,971</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740" w:type="dxa"/>
            <w:vAlign w:val="bottom"/>
            <w:shd w:val="clear" w:color="auto" w:fill="CFF0FC"/>
          </w:tcPr>
          <w:p>
            <w:pPr>
              <w:spacing w:after="0"/>
              <w:rPr>
                <w:sz w:val="19"/>
                <w:szCs w:val="19"/>
                <w:color w:val="auto"/>
              </w:rPr>
            </w:pPr>
          </w:p>
        </w:tc>
        <w:tc>
          <w:tcPr>
            <w:tcW w:w="1080" w:type="dxa"/>
            <w:vAlign w:val="bottom"/>
            <w:gridSpan w:val="3"/>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80" w:type="dxa"/>
            <w:vAlign w:val="bottom"/>
            <w:gridSpan w:val="3"/>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00" w:type="dxa"/>
            <w:vAlign w:val="bottom"/>
            <w:tcBorders>
              <w:top w:val="single" w:sz="8" w:color="CFF0FC"/>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7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74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7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740" w:type="dxa"/>
            <w:vAlign w:val="bottom"/>
            <w:tcBorders>
              <w:top w:val="single" w:sz="8" w:color="CFF0FC"/>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7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9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attributable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 ordinary</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of</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36,040,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45,232,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48,909,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(23,802,69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UP Fintech</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5,621,791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3,677,271</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669)</w:t>
            </w:r>
          </w:p>
        </w:tc>
        <w:tc>
          <w:tcPr>
            <w:tcW w:w="10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3,051,971</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per</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ADS -</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0.198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0.244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0.264</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(0.151)</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(0.134)</w:t>
            </w:r>
          </w:p>
        </w:tc>
        <w:tc>
          <w:tcPr>
            <w:tcW w:w="0" w:type="dxa"/>
            <w:vAlign w:val="bottom"/>
          </w:tcPr>
          <w:p>
            <w:pPr>
              <w:spacing w:after="0"/>
              <w:rPr>
                <w:sz w:val="1"/>
                <w:szCs w:val="1"/>
                <w:color w:val="auto"/>
              </w:rPr>
            </w:pPr>
          </w:p>
        </w:tc>
      </w:tr>
      <w:tr>
        <w:trPr>
          <w:trHeight w:val="198"/>
        </w:trPr>
        <w:tc>
          <w:tcPr>
            <w:tcW w:w="20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w:t>
            </w: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ADSs used in</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calculating diluted</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income (loss) per</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184,472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184,472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187,939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187,939</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177,975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177,975,9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804"/>
        </w:trPr>
        <w:tc>
          <w:tcPr>
            <w:tcW w:w="2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1"/>
        </w:trPr>
        <w:tc>
          <w:tcPr>
            <w:tcW w:w="20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-3205480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-3205480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-3205480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sectPr>
      <w:pgSz w:w="11900" w:h="16838" w:orient="portrait"/>
      <w:cols w:equalWidth="0" w:num="1">
        <w:col w:w="11240"/>
      </w:cols>
      <w:pgMar w:left="320" w:top="11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2026-06-02T05:35:53Z</dcterms:created>
  <dcterms:modified xsi:type="dcterms:W3CDTF">2026-06-02T05:35:53Z</dcterms:modified>
</cp:coreProperties>
</file>