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igr-6k-2025_q4.htm"/>
      <w:bookmarkStart w:id="1" w:name="kstigr6k2025_q4"/>
      <w:bookmarkEnd w:id="0"/>
      <w:bookmarkEnd w:id="1"/>
      <w:r>
        <w:rPr>
          <w:rFonts w:ascii="Times New Roman" w:hAnsi="Times New Roman"/>
          <w:color w:val="000000"/>
          <w:sz w:val="2"/>
        </w:rPr>
        <w:t xml:space="preserve">. </w:t>
      </w: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month of March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001-38833</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UP Fintech Holding Limited</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 Raffles Place, #35-61 One Raffles Place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Singapore (048616)</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pBdr>
          <w:top w:val="single" w:sz="4"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tbl>
      <w:tblPr>
        <w:tblW w:w="2584" w:type="dxa"/>
        <w:jc w:val="left"/>
        <w:tblInd w:w="0" w:type="dxa"/>
        <w:tblLayout w:type="fixed"/>
        <w:tblCellMar>
          <w:top w:w="28" w:type="dxa"/>
          <w:left w:w="28" w:type="dxa"/>
          <w:bottom w:w="28" w:type="dxa"/>
          <w:right w:w="28" w:type="dxa"/>
        </w:tblCellMar>
      </w:tblPr>
      <w:tblGrid>
        <w:gridCol w:w="961"/>
        <w:gridCol w:w="316"/>
        <w:gridCol w:w="946"/>
        <w:gridCol w:w="361"/>
      </w:tblGrid>
      <w:tr>
        <w:trPr/>
        <w:tc>
          <w:tcPr>
            <w:tcW w:w="9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UP Fintech Holding Limited Reports Unaudited Fourth Quarter And Full Year 2025 Financial Results</w:t>
      </w:r>
    </w:p>
    <w:p>
      <w:pPr>
        <w:pStyle w:val="TextBody"/>
        <w:bidi w:val="0"/>
        <w:jc w:val="both"/>
        <w:rPr>
          <w:rFonts w:ascii="Times New Roman" w:hAnsi="Times New Roman"/>
          <w:color w:val="000000"/>
          <w:sz w:val="20"/>
        </w:rPr>
      </w:pPr>
      <w:r>
        <w:rPr>
          <w:rFonts w:ascii="Times New Roman" w:hAnsi="Times New Roman"/>
          <w:color w:val="000000"/>
          <w:sz w:val="20"/>
        </w:rPr>
        <w:t>UP Fintech Holding Limited (NASDAQ: TIGR), a leading online brokerage firm focusing on global investors, today announced its unaudited financial results for the fourth quarter and full year ended December 31, 2025. A copy of the news release relating to the above matter is set forth in Exhibit 99.1, which is being furnished herewith.</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578" w:type="dxa"/>
        <w:jc w:val="left"/>
        <w:tblInd w:w="0" w:type="dxa"/>
        <w:tblLayout w:type="fixed"/>
        <w:tblCellMar>
          <w:top w:w="28" w:type="dxa"/>
          <w:left w:w="28" w:type="dxa"/>
          <w:bottom w:w="28" w:type="dxa"/>
          <w:right w:w="28" w:type="dxa"/>
        </w:tblCellMar>
      </w:tblPr>
      <w:tblGrid>
        <w:gridCol w:w="1891"/>
        <w:gridCol w:w="631"/>
        <w:gridCol w:w="2056"/>
      </w:tblGrid>
      <w:tr>
        <w:trPr/>
        <w:tc>
          <w:tcPr>
            <w:tcW w:w="18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UP Fintech Holding Limited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FEI ZENG</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Fei Zeng</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tbl>
      <w:tblPr>
        <w:tblW w:w="3816" w:type="dxa"/>
        <w:jc w:val="left"/>
        <w:tblInd w:w="0" w:type="dxa"/>
        <w:tblLayout w:type="fixed"/>
        <w:tblCellMar>
          <w:top w:w="28" w:type="dxa"/>
          <w:left w:w="28" w:type="dxa"/>
          <w:bottom w:w="28" w:type="dxa"/>
          <w:right w:w="28" w:type="dxa"/>
        </w:tblCellMar>
      </w:tblPr>
      <w:tblGrid>
        <w:gridCol w:w="646"/>
        <w:gridCol w:w="109"/>
        <w:gridCol w:w="3061"/>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tcBorders/>
            <w:tcMar>
              <w:top w:w="0" w:type="dxa"/>
              <w:left w:w="0" w:type="dxa"/>
              <w:bottom w:w="0" w:type="dxa"/>
              <w:right w:w="0" w:type="dxa"/>
            </w:tcMar>
            <w:vAlign w:val="center"/>
          </w:tcPr>
          <w:p>
            <w:pPr>
              <w:pStyle w:val="TableContents"/>
              <w:bidi w:val="0"/>
              <w:spacing w:before="0" w:after="283"/>
              <w:jc w:val="left"/>
              <w:rPr/>
            </w:pPr>
            <w:hyperlink w:anchor="tigr-ex99_1.htm">
              <w:r>
                <w:rPr>
                  <w:rStyle w:val="InternetLink"/>
                  <w:rFonts w:ascii="Times New Roman" w:hAnsi="Times New Roman"/>
                  <w:color w:val="000000"/>
                  <w:sz w:val="20"/>
                  <w:u w:val="single"/>
                </w:rPr>
                <w:t>Press Release dated March 19, 2026</w:t>
              </w:r>
            </w:hyperlink>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bookmarkStart w:id="2" w:name="tigr-ex99_1.htm"/>
      <w:bookmarkStart w:id="3" w:name="kstigr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UP Fintech Holding Limited Reports Unaudited Fourth Quarter And Full Year 2025 Financial Results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Singapore, March 19, 2026 – UP Fintech Holding Limited (NASDAQ: TIGR) (“UP Fintech” or the “Company”), a leading online brokerage firm focusing on global investors, today announced its unaudited financial results for the fourth quarter and full year ended December 31, 2025.</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Mr. Wu Tianhua, Chairman and CEO of UP Fintech stated: “Both of our financial and operating performance have achieved significant growth in the full year of 2025. The full year total revenue amounted to US$612.1 million, a 56.3% increase from 2024. Total revenue in the fourth quarter reached US$175.6 million, representing a year-over-year increase of 41.5% and remaining flat compared to the prior quarter. Bottom line for the full year of 2025 also largely increased on a GAAP and non-GAAP basis. The full year net income and non-GAAP net income attributable to ordinary shareholders of UP Fintech in 2025 were US$170.9 million and US$186.5 million, increased 181.4% and 164.7% respectively compared to prior year. Net income and non-GAAP net income attributable to ordinary shareholders of UP Fintech in the fourth quarter reached US$45.2 million and US$48.9 million, representing a year-over-year growth of 61.3% and 60.5%. We are pleased to see significant breakthroughs in both our annual and quarterly topline and bottom line compared to 2024. This progress reflects our effective execution of our internationalization strategy and our commitment to building a resilient business model with improved operating leverage.</w:t>
      </w:r>
    </w:p>
    <w:p>
      <w:pPr>
        <w:pStyle w:val="TextBody"/>
        <w:bidi w:val="0"/>
        <w:jc w:val="both"/>
        <w:rPr>
          <w:rFonts w:ascii="Times New Roman" w:hAnsi="Times New Roman"/>
          <w:color w:val="000000"/>
          <w:sz w:val="22"/>
        </w:rPr>
      </w:pPr>
      <w:r>
        <w:rPr>
          <w:rFonts w:ascii="Times New Roman" w:hAnsi="Times New Roman"/>
          <w:color w:val="000000"/>
          <w:sz w:val="22"/>
        </w:rPr>
        <w:t>In the fourth quarter, we added 29,700 customers with deposits, bringing our yearly total to 161,900, exceeding our yearly guidance of 150,000. The total number of customers with deposits at the end of 2025 reached 1,253,900, a 14.8% increase compared to 2024 year-end. We target to acquire 150 thousand new funded clients in 2026 while prioritizing user quality. Additionally, asset inflows remained robust, with a net inflow of US$3 billion in the fourth quarter and over US$10 billion throughout the entire year of 2025. As a result, the total account balance rose by an impressive 45.7% year-over-year, reaching US$60.8 billion by the end of 2025. Singapore as our headquarter, client assets increased by more than 50% year-over-year. While our expanding markets in Australia and New Zealand, as well as Hong Kong, experienced rapid growth, with client assets more than doubling and tripling year-over-year, respectively. This represents the continued loyalty and trust from our users on Tiger platform across all markets.</w:t>
      </w:r>
    </w:p>
    <w:p>
      <w:pPr>
        <w:pStyle w:val="TextBody"/>
        <w:bidi w:val="0"/>
        <w:jc w:val="both"/>
        <w:rPr>
          <w:rFonts w:ascii="Times New Roman" w:hAnsi="Times New Roman"/>
          <w:sz w:val="20"/>
        </w:rPr>
      </w:pPr>
      <w:r>
        <w:rPr>
          <w:rFonts w:ascii="Times New Roman" w:hAnsi="Times New Roman"/>
          <w:color w:val="000000"/>
          <w:sz w:val="22"/>
        </w:rPr>
        <w:t>We have continued to roll out a range of localized products and features designed to enhance the user experience. Building on our options combo feature, we upgraded it in the fourth quarter to now allow users to execute combination orders of options and underlying stock contracts, enabling clients to implement more complex trading strategies that adapt to market changes. Additionally, we launched margin accounts in the Australia market, significantly enhancing our competitive position and improving the trading experience for local users.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Our corporate business continued to perform well in the fourth quarter of 2025. During this period, we underwrote a total of 22 U.S. and Hong Kong IPOs, including “Pony AI Inc.” and “HashKey”, bringing the total number of U.S. and Hong Kong IPOs underwritten for the year to 47. In our ESOP business, we added 39 new clients in the fourth quarter, bringing the total number of ESOP clients served to 748 as of December 31, 2025.”</w:t>
      </w:r>
    </w:p>
    <w:p>
      <w:pPr>
        <w:pStyle w:val="TextBody"/>
        <w:bidi w:val="0"/>
        <w:jc w:val="left"/>
        <w:rPr/>
      </w:pPr>
      <w:r>
        <w:rPr/>
        <w:t> </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both"/>
        <w:rPr/>
      </w:pPr>
      <w:r>
        <w:rPr/>
        <w:t> </w:t>
      </w:r>
    </w:p>
    <w:p>
      <w:pPr>
        <w:pStyle w:val="TextBody"/>
        <w:bidi w:val="0"/>
        <w:jc w:val="center"/>
        <w:rPr>
          <w:rFonts w:ascii="Times New Roman" w:hAnsi="Times New Roman"/>
          <w:color w:val="000000"/>
          <w:sz w:val="18"/>
        </w:rPr>
      </w:pPr>
      <w:r>
        <w:rPr>
          <w:rFonts w:ascii="Times New Roman" w:hAnsi="Times New Roman"/>
          <w:color w:val="000000"/>
          <w:sz w:val="18"/>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2"/>
        </w:rPr>
        <w:t>Financial Highlights for Fourth Quarter 2025</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Total revenues</w:t>
      </w:r>
      <w:r>
        <w:rPr>
          <w:color w:val="000000"/>
        </w:rPr>
        <w:t xml:space="preserve"> </w:t>
      </w:r>
      <w:r>
        <w:rPr>
          <w:rFonts w:ascii="Times New Roman" w:hAnsi="Times New Roman"/>
          <w:color w:val="000000"/>
          <w:sz w:val="22"/>
        </w:rPr>
        <w:t>were US$175.6 million, an increase of 41.5% year-over-year and an increase of 0.2% quarter-over-quarter.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Total net revenues </w:t>
      </w:r>
      <w:r>
        <w:rPr>
          <w:rFonts w:ascii="Times New Roman" w:hAnsi="Times New Roman"/>
          <w:color w:val="000000"/>
          <w:sz w:val="22"/>
        </w:rPr>
        <w:t>were US$156.5 million, an increase of 45.8% year-over-year and an increase of 2.2% quarter-over-quarter.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Net income attributable to ordinary shareholders of UP Fintech</w:t>
      </w:r>
      <w:r>
        <w:rPr>
          <w:color w:val="000000"/>
        </w:rPr>
        <w:t xml:space="preserve"> </w:t>
      </w:r>
      <w:r>
        <w:rPr>
          <w:rFonts w:ascii="Times New Roman" w:hAnsi="Times New Roman"/>
          <w:color w:val="000000"/>
          <w:sz w:val="22"/>
        </w:rPr>
        <w:t>was US$45.2 million compared to a net income of US$28.1 million in the same quarter of last year, an increase of 61.3%.</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Non-GAAP net income attributable to ordinary shareholders of UP Fintech</w:t>
      </w:r>
      <w:r>
        <w:rPr>
          <w:color w:val="000000"/>
        </w:rPr>
        <w:t xml:space="preserve"> </w:t>
      </w:r>
      <w:r>
        <w:rPr>
          <w:rFonts w:ascii="Times New Roman" w:hAnsi="Times New Roman"/>
          <w:color w:val="000000"/>
          <w:sz w:val="22"/>
        </w:rPr>
        <w:t>was US$48.9 million, compared to a non-GAAP net income of US$30.5 million in the same quarter of last year, an increase of 60.5%. A reconciliation of non-GAAP financial metrics to the most comparable GAAP metrics is set forth below.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Financial Highlights for Fiscal Year 2025</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Total revenues</w:t>
      </w:r>
      <w:r>
        <w:rPr>
          <w:color w:val="000000"/>
        </w:rPr>
        <w:t xml:space="preserve"> </w:t>
      </w:r>
      <w:r>
        <w:rPr>
          <w:rFonts w:ascii="Times New Roman" w:hAnsi="Times New Roman"/>
          <w:color w:val="000000"/>
          <w:sz w:val="22"/>
        </w:rPr>
        <w:t>increased 56.3% year-over-year to US$612.1 million.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Total net revenues </w:t>
      </w:r>
      <w:r>
        <w:rPr>
          <w:rFonts w:ascii="Times New Roman" w:hAnsi="Times New Roman"/>
          <w:color w:val="000000"/>
          <w:sz w:val="22"/>
        </w:rPr>
        <w:t>increased 62.9% year-over-year to US$538.7 million.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Net income attributable to ordinary shareholders of UP Fintech</w:t>
      </w:r>
      <w:r>
        <w:rPr>
          <w:color w:val="000000"/>
        </w:rPr>
        <w:t xml:space="preserve"> </w:t>
      </w:r>
      <w:r>
        <w:rPr>
          <w:rFonts w:ascii="Times New Roman" w:hAnsi="Times New Roman"/>
          <w:color w:val="000000"/>
          <w:sz w:val="22"/>
        </w:rPr>
        <w:t>was US$170.9 million compared to a net income of US$60.7 million in 2024, an increase of 181.4%.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Non-GAAP net income attributable to ordinary shareholders of UP Fintech</w:t>
      </w:r>
      <w:r>
        <w:rPr>
          <w:color w:val="000000"/>
        </w:rPr>
        <w:t xml:space="preserve"> </w:t>
      </w:r>
      <w:r>
        <w:rPr>
          <w:rFonts w:ascii="Times New Roman" w:hAnsi="Times New Roman"/>
          <w:color w:val="000000"/>
          <w:sz w:val="22"/>
        </w:rPr>
        <w:t>was US$186.5 million, compared to a non-GAAP net income of US$70.5 million in 2024, an increase of 164.7%. A reconciliation of non-GAAP financial metrics to the most comparable GAAP metrics is set forth below.</w:t>
      </w:r>
    </w:p>
    <w:p>
      <w:pPr>
        <w:pStyle w:val="TextBody"/>
        <w:bidi w:val="0"/>
        <w:spacing w:before="200" w:after="200"/>
        <w:jc w:val="both"/>
        <w:rPr>
          <w:rFonts w:ascii="Times New Roman" w:hAnsi="Times New Roman"/>
          <w:b/>
          <w:color w:val="000000"/>
          <w:sz w:val="22"/>
        </w:rPr>
      </w:pPr>
      <w:r>
        <w:rPr>
          <w:rFonts w:ascii="Times New Roman" w:hAnsi="Times New Roman"/>
          <w:b/>
          <w:color w:val="000000"/>
          <w:sz w:val="22"/>
        </w:rPr>
        <w:t>Operating Highlights as of Year End 2025</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 xml:space="preserve">Total account balance </w:t>
      </w:r>
      <w:r>
        <w:rPr>
          <w:rFonts w:ascii="Times New Roman" w:hAnsi="Times New Roman"/>
          <w:color w:val="000000"/>
          <w:sz w:val="22"/>
        </w:rPr>
        <w:t xml:space="preserve">increased 45.7% year-over-year to US$60.8 billion.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Total margin financing and securities lending balance </w:t>
      </w:r>
      <w:r>
        <w:rPr>
          <w:rFonts w:ascii="Times New Roman" w:hAnsi="Times New Roman"/>
          <w:color w:val="000000"/>
          <w:sz w:val="22"/>
        </w:rPr>
        <w:t>increased 21.5% year-over-year to US$5.4 billion.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Total number of customers with deposit </w:t>
      </w:r>
      <w:r>
        <w:rPr>
          <w:rFonts w:ascii="Times New Roman" w:hAnsi="Times New Roman"/>
          <w:color w:val="000000"/>
          <w:sz w:val="22"/>
        </w:rPr>
        <w:t>increased 14.8% year-over-year to 1,253.9 thousand.</w:t>
      </w:r>
      <w:r>
        <w:rPr>
          <w:color w:val="000000"/>
        </w:rPr>
        <w:t xml:space="preserve"> </w:t>
      </w:r>
    </w:p>
    <w:p>
      <w:pPr>
        <w:pStyle w:val="TextBody"/>
        <w:bidi w:val="0"/>
        <w:spacing w:before="200" w:after="200"/>
        <w:jc w:val="left"/>
        <w:rPr>
          <w:rFonts w:ascii="Times New Roman" w:hAnsi="Times New Roman"/>
          <w:b/>
          <w:color w:val="000000"/>
          <w:sz w:val="22"/>
        </w:rPr>
      </w:pPr>
      <w:r>
        <w:rPr>
          <w:rFonts w:ascii="Times New Roman" w:hAnsi="Times New Roman"/>
          <w:b/>
          <w:color w:val="000000"/>
          <w:sz w:val="22"/>
        </w:rPr>
        <w:t>Selected Operating Data for Fourth Quarter 2025</w:t>
      </w:r>
    </w:p>
    <w:tbl>
      <w:tblPr>
        <w:tblW w:w="8762" w:type="dxa"/>
        <w:jc w:val="left"/>
        <w:tblInd w:w="0" w:type="dxa"/>
        <w:tblLayout w:type="fixed"/>
        <w:tblCellMar>
          <w:top w:w="28" w:type="dxa"/>
          <w:left w:w="28" w:type="dxa"/>
          <w:bottom w:w="28" w:type="dxa"/>
          <w:right w:w="28" w:type="dxa"/>
        </w:tblCellMar>
      </w:tblPr>
      <w:tblGrid>
        <w:gridCol w:w="3916"/>
        <w:gridCol w:w="146"/>
        <w:gridCol w:w="170"/>
        <w:gridCol w:w="1090"/>
        <w:gridCol w:w="146"/>
        <w:gridCol w:w="146"/>
        <w:gridCol w:w="177"/>
        <w:gridCol w:w="1128"/>
        <w:gridCol w:w="146"/>
        <w:gridCol w:w="146"/>
        <w:gridCol w:w="170"/>
        <w:gridCol w:w="1090"/>
        <w:gridCol w:w="2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and for the three months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000’s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customer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customers with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options and futures contracts traded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USD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316,599.0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Trading volume of stocks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2"/>
        </w:rPr>
        <w:t>Fourth Quarter 2025 Financial Results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2"/>
        </w:rPr>
        <w:t>REVENUES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Total revenues were US$175.6 million, an increase of 41.5% from US$124.1 million in the same quarter of last year.</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Commissions were US$70.8 million, an increase of 26.6% from US$56.0 million in the same quarter of last year, due to an increase in trading volume.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Financing service fees were US$2.7 million, a decrease of 3.8% from US$2.8 million in the same quarter of last year, primarily due to decreased interest rates.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Interest income was US$71.3 million, an increase of 27.8% from US$55.8 million in the same quarter of last year, primarily due to the increase in margin financing and securities lending activities of our consolidated account customers, partially offset by decreased interest rates.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Other revenues were US$30.8 million, an increase of 220.6% from US$9.6 million in the same quarter of last year, primarily due to the increase of our wealth management service revenue.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Interest expense was US$19.0 million, an increase of 13.8% from US$16.7 million in the same quarter of last year, primarily due to the increase in funding for margin financing and securities lending activities, partially offset by decreased interest rates.</w:t>
      </w:r>
    </w:p>
    <w:p>
      <w:pPr>
        <w:pStyle w:val="TextBody"/>
        <w:bidi w:val="0"/>
        <w:spacing w:before="200" w:after="283"/>
        <w:jc w:val="both"/>
        <w:rPr>
          <w:rFonts w:ascii="Times New Roman" w:hAnsi="Times New Roman"/>
          <w:sz w:val="20"/>
        </w:rPr>
      </w:pPr>
      <w:r>
        <w:rPr>
          <w:rFonts w:ascii="Times New Roman" w:hAnsi="Times New Roman"/>
          <w:b/>
          <w:i/>
          <w:color w:val="000000"/>
          <w:sz w:val="22"/>
        </w:rPr>
        <w:t>OPERATING COSTS AND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Total operating costs and expenses were US$102.8 million, an increase of 40.6% from US$73.1 million in the same quarter of last year.</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Execution and clearing expenses were US$5.3 million, a decrease of 12.7% from US$6.1 million in the same quarter of last year due to more self-clearing of US and HK equities.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Employee compensation and benefits expenses were US$50.3 million, an increase of 35.4% from US$37.2 million in the same quarter of last year, primarily due to an increase of global headcount to support our global expansion.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Occupancy, depreciation and amortization expenses were US$2.9 million, an increase of 33.5% from US$2.1 million in the same quarter of last year, due to the increase in office space and relevant leasehold improvements.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Communication and market data expenses were US$14.5 million, an increase of 22.9% from US$11.8 million in the same quarter of last year due to the increase of IT-related service fees.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Marketing and branding expenses were US$15.8 million, an increase of 66.5% from US$9.5 million in the same quarter of last year, primarily due to higher marketing spending this quarter.</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General and administrative expenses were US$14.0 million, an increase of 118.0% from US$6.4 million in the same quarter of last year due to an uncollectible underwriting fee and an increase in professional service fees.</w:t>
      </w:r>
    </w:p>
    <w:p>
      <w:pPr>
        <w:pStyle w:val="TextBody"/>
        <w:bidi w:val="0"/>
        <w:jc w:val="center"/>
        <w:rPr>
          <w:rFonts w:ascii="Times New Roman" w:hAnsi="Times New Roman"/>
          <w:color w:val="000000"/>
          <w:sz w:val="18"/>
        </w:rPr>
      </w:pPr>
      <w:r>
        <w:rPr>
          <w:rFonts w:ascii="Times New Roman" w:hAnsi="Times New Roman"/>
          <w:color w:val="000000"/>
          <w:sz w:val="18"/>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2"/>
        </w:rPr>
        <w:t>NET INCOME</w:t>
      </w:r>
      <w:r>
        <w:rPr>
          <w:rFonts w:ascii="Times New Roman" w:hAnsi="Times New Roman"/>
          <w:caps/>
          <w:color w:val="000000"/>
          <w:sz w:val="20"/>
        </w:rPr>
        <w:t xml:space="preserve"> </w:t>
      </w:r>
      <w:r>
        <w:rPr>
          <w:rFonts w:ascii="Times New Roman" w:hAnsi="Times New Roman"/>
          <w:b/>
          <w:i/>
          <w:caps/>
          <w:color w:val="000000"/>
          <w:sz w:val="22"/>
        </w:rPr>
        <w:t>attributable to ordinary shareholders of UP Fintech</w:t>
      </w:r>
      <w:r>
        <w:rPr>
          <w:rFonts w:ascii="Times New Roman" w:hAnsi="Times New Roman"/>
          <w:caps/>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Net income attributable to ordinary shareholders of UP Fintech was US$45.2 million, as compared to a net income of US$28.1 million in the same quarter of last year. Net income per ADS (1 ADS represents 15 Class A ordinary shares) – diluted</w:t>
      </w:r>
      <w:r>
        <w:rPr>
          <w:rFonts w:ascii="Times New Roman" w:hAnsi="Times New Roman"/>
          <w:color w:val="000000"/>
          <w:sz w:val="20"/>
        </w:rPr>
        <w:t xml:space="preserve"> </w:t>
      </w:r>
      <w:r>
        <w:rPr>
          <w:rFonts w:ascii="Times New Roman" w:hAnsi="Times New Roman"/>
          <w:color w:val="000000"/>
          <w:sz w:val="22"/>
        </w:rPr>
        <w:t>was US$0.244, as compared to a net income per ADS – diluted of US$0.158 in the same quarter of last year.</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Non-GAAP net income attributable to ordinary shareholders of UP Fintech, which excludes share-based compensation, was US$48.9 million, as compared to a US$30.5 million non-GAAP net income attributable to ordinary shareholders of UP Fintech in the same quarter of last year. Non-GAAP net income per ADS – diluted was US$0.264 as compared to a non-GAAP net income per ADS – diluted of US$0.172 in the same quarter of last year.</w:t>
      </w:r>
    </w:p>
    <w:p>
      <w:pPr>
        <w:pStyle w:val="TextBody"/>
        <w:bidi w:val="0"/>
        <w:spacing w:before="200" w:after="283"/>
        <w:jc w:val="both"/>
        <w:rPr>
          <w:rFonts w:ascii="Times New Roman" w:hAnsi="Times New Roman"/>
          <w:sz w:val="20"/>
        </w:rPr>
      </w:pPr>
      <w:r>
        <w:rPr>
          <w:rFonts w:ascii="Times New Roman" w:hAnsi="Times New Roman"/>
          <w:color w:val="000000"/>
          <w:sz w:val="22"/>
        </w:rPr>
        <w:t>For the fourth quarter of 2025, the Company’s weighted average number of ADSs used in calculating non-GAAP net income per ADS – diluted was 187,939,834. As of December 31, 2025, the Company had a total of 2,677,817,547 Class A and B ordinary shares outstanding, or the equivalent of 178,521,170 ADSs.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color w:val="000000"/>
          <w:sz w:val="22"/>
        </w:rPr>
        <w:t>Full Year 2025 Financial Results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i/>
          <w:color w:val="000000"/>
          <w:sz w:val="22"/>
        </w:rPr>
        <w:t>REVENUES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Total revenues were US$612.1 million, an increase of 56.3% from US$391.5 million in 2024.</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Commissions were US$266.8 million, an increase of 67.8% from US$159.0 million in 2024, due to an increase in trading volume.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Financing service fees were US$10.7 million, a decrease of 5.2% from US$11.3 million in 2024, primarily due to decreased interest rates.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Interest income was US$257.0 million, an increase of 34.0% from US$191.8 million in 2024, primarily due to the increase in margin financing and securities lending activities of our consolidated account customers, partially offset by decreased interest rates.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Other revenues were US$77.5 million, an increase of 163.4% from US$29.4 million in 2024, primarily due to our wealth management service revenue and IPO distribution income.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Interest expense was US$73.4 million, an increase of 20.6% from US$60.8 million in 2024, primarily due to the increase in margin financing and securities lending activities, partially offset by decreased interest rates.</w:t>
      </w:r>
    </w:p>
    <w:p>
      <w:pPr>
        <w:pStyle w:val="TextBody"/>
        <w:bidi w:val="0"/>
        <w:spacing w:before="200" w:after="283"/>
        <w:jc w:val="both"/>
        <w:rPr>
          <w:rFonts w:ascii="Times New Roman" w:hAnsi="Times New Roman"/>
          <w:sz w:val="20"/>
        </w:rPr>
      </w:pPr>
      <w:r>
        <w:rPr>
          <w:rFonts w:ascii="Times New Roman" w:hAnsi="Times New Roman"/>
          <w:b/>
          <w:i/>
          <w:color w:val="000000"/>
          <w:sz w:val="22"/>
        </w:rPr>
        <w:t>OPERATING COSTS AND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Total operating costs and expenses were US$330.3 million, an increase of 30.9% from US$252.3 million in 2024.</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Execution and clearing expenses were US$20.5 million, an increase of 40.2% from US$14.7 million in 2024 due to an increase in our trading volume.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Employee compensation and benefits expenses were US$167.2 million, an increase of 36.6% from US$122.4 million in 2024, primarily due to an increase of global headcount to support our global expansion.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Occupancy, depreciation and amortization expenses were US$10.5 million, an increase of 22.6% from US$8.6 million in 2024, due to the increase in office space and relevant leasehold improvements.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Communication and market data expenses were US$46.5 million, an increase of 19.4% from US$38.9 million in 2024 due to the increase of IT-related service fees.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Marketing and branding expenses were US$49.5 million, an increase of 73.4% from US$28.5 million in 2024, primarily due to higher marketing spending this year.</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General and administrative expenses were US$36.2 million, a decrease of 7.8% from US$39.3 million in 2024 due to a decrease in bad debt expense.</w:t>
      </w:r>
    </w:p>
    <w:p>
      <w:pPr>
        <w:pStyle w:val="TextBody"/>
        <w:bidi w:val="0"/>
        <w:jc w:val="center"/>
        <w:rPr>
          <w:rFonts w:ascii="Times New Roman" w:hAnsi="Times New Roman"/>
          <w:color w:val="000000"/>
          <w:sz w:val="18"/>
        </w:rPr>
      </w:pPr>
      <w:r>
        <w:rPr>
          <w:rFonts w:ascii="Times New Roman" w:hAnsi="Times New Roman"/>
          <w:color w:val="000000"/>
          <w:sz w:val="18"/>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2"/>
        </w:rPr>
        <w:t>NET INCOME</w:t>
      </w:r>
      <w:r>
        <w:rPr>
          <w:rFonts w:ascii="Times New Roman" w:hAnsi="Times New Roman"/>
          <w:caps/>
          <w:color w:val="000000"/>
          <w:sz w:val="20"/>
        </w:rPr>
        <w:t xml:space="preserve"> </w:t>
      </w:r>
      <w:r>
        <w:rPr>
          <w:rFonts w:ascii="Times New Roman" w:hAnsi="Times New Roman"/>
          <w:b/>
          <w:i/>
          <w:caps/>
          <w:color w:val="000000"/>
          <w:sz w:val="22"/>
        </w:rPr>
        <w:t>attributable to ordinary shareholders of UP Fintech</w:t>
      </w:r>
      <w:r>
        <w:rPr>
          <w:rFonts w:ascii="Times New Roman" w:hAnsi="Times New Roman"/>
          <w:caps/>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Net income attributable to ordinary shareholders of UP Fintech was US$170.9 million, as compared to a net income of US$60.7 million in 2024. Net income per ADS – diluted</w:t>
      </w:r>
      <w:r>
        <w:rPr>
          <w:rFonts w:ascii="Times New Roman" w:hAnsi="Times New Roman"/>
          <w:color w:val="000000"/>
          <w:sz w:val="20"/>
        </w:rPr>
        <w:t xml:space="preserve"> </w:t>
      </w:r>
      <w:r>
        <w:rPr>
          <w:rFonts w:ascii="Times New Roman" w:hAnsi="Times New Roman"/>
          <w:color w:val="000000"/>
          <w:sz w:val="22"/>
        </w:rPr>
        <w:t>was US$0.927, as compared to a net income per ADS – diluted of US$0.366 in 2024.</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Non-GAAP net income attributable to ordinary shareholders of UP Fintech, which excludes share-based compensation, was US$186.5 million, as compared to a US$70.5 million non-GAAP net income attributable to ordinary shareholders of UP Fintech in 2024. Non-GAAP net income per ADS – diluted was US$1.011 as compared to a non-GAAP net income per ADS – diluted of US$0.424 in 2024.</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CERTAIN OTHER FINANCIAL ITEMS</w:t>
      </w:r>
    </w:p>
    <w:p>
      <w:pPr>
        <w:pStyle w:val="TextBody"/>
        <w:bidi w:val="0"/>
        <w:spacing w:before="200" w:after="283"/>
        <w:jc w:val="both"/>
        <w:rPr>
          <w:rFonts w:ascii="Times New Roman" w:hAnsi="Times New Roman"/>
          <w:sz w:val="20"/>
        </w:rPr>
      </w:pPr>
      <w:r>
        <w:rPr>
          <w:rFonts w:ascii="Times New Roman" w:hAnsi="Times New Roman"/>
          <w:color w:val="000000"/>
          <w:sz w:val="22"/>
        </w:rPr>
        <w:t>As of December 31, 2025, the Company’s cash and cash equivalents, term deposits and long-term deposits were US$793.1 million,</w:t>
      </w:r>
      <w:r>
        <w:rPr>
          <w:rFonts w:ascii="Times New Roman" w:hAnsi="Times New Roman"/>
          <w:color w:val="000000"/>
          <w:sz w:val="20"/>
        </w:rPr>
        <w:t xml:space="preserve"> </w:t>
      </w:r>
      <w:r>
        <w:rPr>
          <w:rFonts w:ascii="Times New Roman" w:hAnsi="Times New Roman"/>
          <w:color w:val="000000"/>
          <w:sz w:val="22"/>
        </w:rPr>
        <w:t>compared to US$396.0 million as of December 31, 2024.</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UP Fintech’s management will hold an earnings conference call at 8:00 AM on March 19, 2026, U.S. Eastern Time (8:00 PM on March 19, 2026, Singapore/Hong Kong Time).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All participants wishing to attend the call must preregister online before they may receive the dial-in numbers. Preregistration may require a few minutes to complete.</w:t>
      </w:r>
    </w:p>
    <w:p>
      <w:pPr>
        <w:pStyle w:val="TextBody"/>
        <w:bidi w:val="0"/>
        <w:spacing w:before="200" w:after="283"/>
        <w:jc w:val="left"/>
        <w:rPr>
          <w:rFonts w:ascii="Times New Roman" w:hAnsi="Times New Roman"/>
          <w:b/>
          <w:color w:val="333333"/>
          <w:sz w:val="22"/>
        </w:rPr>
      </w:pPr>
      <w:r>
        <w:rPr>
          <w:rFonts w:ascii="Times New Roman" w:hAnsi="Times New Roman"/>
          <w:b/>
          <w:color w:val="333333"/>
          <w:sz w:val="22"/>
        </w:rPr>
        <w:t>Preregistration Information:</w:t>
      </w:r>
    </w:p>
    <w:p>
      <w:pPr>
        <w:pStyle w:val="TextBody"/>
        <w:bidi w:val="0"/>
        <w:spacing w:before="200" w:after="283"/>
        <w:jc w:val="left"/>
        <w:rPr>
          <w:rFonts w:ascii="Times New Roman" w:hAnsi="Times New Roman"/>
          <w:sz w:val="20"/>
        </w:rPr>
      </w:pPr>
      <w:r>
        <w:rPr>
          <w:rFonts w:ascii="Times New Roman" w:hAnsi="Times New Roman"/>
          <w:color w:val="000000"/>
          <w:sz w:val="22"/>
        </w:rPr>
        <w:t>Please note that all participants will need to pre-register for the conference call, using the link</w:t>
      </w:r>
      <w:r>
        <w:rPr>
          <w:rFonts w:ascii="Times New Roman" w:hAnsi="Times New Roman"/>
          <w:color w:val="333333"/>
          <w:sz w:val="22"/>
        </w:rPr>
        <w:t>:</w:t>
      </w:r>
    </w:p>
    <w:p>
      <w:pPr>
        <w:pStyle w:val="TextBody"/>
        <w:bidi w:val="0"/>
        <w:spacing w:before="200" w:after="283"/>
        <w:jc w:val="left"/>
        <w:rPr>
          <w:rFonts w:ascii="Times New Roman" w:hAnsi="Times New Roman"/>
          <w:sz w:val="22"/>
        </w:rPr>
      </w:pPr>
      <w:r>
        <w:rPr>
          <w:rFonts w:ascii="Times New Roman" w:hAnsi="Times New Roman"/>
          <w:sz w:val="22"/>
        </w:rPr>
        <w:t>https://register-conf.media-server.com/register/BI64386a93537e41cca665f4023e1048f3</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It will automatically lead to the registration page of “UP Fintech Holding Limited Fourth Quarter And Full Year 2025 Earnings Conference Call”, where details for RSVP are needed.</w:t>
      </w:r>
    </w:p>
    <w:p>
      <w:pPr>
        <w:pStyle w:val="TextBody"/>
        <w:bidi w:val="0"/>
        <w:spacing w:before="200" w:after="200"/>
        <w:jc w:val="both"/>
        <w:rPr>
          <w:rFonts w:ascii="Times New Roman" w:hAnsi="Times New Roman"/>
          <w:color w:val="000000"/>
          <w:sz w:val="22"/>
        </w:rPr>
      </w:pPr>
      <w:r>
        <w:rPr>
          <w:rFonts w:ascii="Times New Roman" w:hAnsi="Times New Roman"/>
          <w:color w:val="000000"/>
          <w:sz w:val="22"/>
        </w:rPr>
        <w:t>Upon registering, all participants will be provided in confirmation emails with participant dial-in numbers and personal PINs to access the conference call. Please dial in 10 minutes prior to the call start time using the conference access information.</w:t>
      </w:r>
    </w:p>
    <w:p>
      <w:pPr>
        <w:pStyle w:val="TextBody"/>
        <w:bidi w:val="0"/>
        <w:spacing w:before="0" w:after="200"/>
        <w:jc w:val="both"/>
        <w:rPr>
          <w:rFonts w:ascii="Times New Roman" w:hAnsi="Times New Roman"/>
          <w:sz w:val="20"/>
        </w:rPr>
      </w:pPr>
      <w:r>
        <w:rPr>
          <w:rFonts w:ascii="Times New Roman" w:hAnsi="Times New Roman"/>
          <w:color w:val="000000"/>
          <w:sz w:val="22"/>
        </w:rPr>
        <w:t xml:space="preserve">Additionally, a live and archived webcast of the conference call will be available at </w:t>
      </w:r>
      <w:r>
        <w:rPr>
          <w:rFonts w:ascii="Times New Roman" w:hAnsi="Times New Roman"/>
          <w:sz w:val="22"/>
        </w:rPr>
        <w:t>https://ir.itigerup.com</w:t>
      </w:r>
    </w:p>
    <w:p>
      <w:pPr>
        <w:pStyle w:val="TextBody"/>
        <w:bidi w:val="0"/>
        <w:jc w:val="center"/>
        <w:rPr>
          <w:rFonts w:ascii="Times New Roman" w:hAnsi="Times New Roman"/>
          <w:color w:val="000000"/>
          <w:sz w:val="18"/>
        </w:rPr>
      </w:pPr>
      <w:r>
        <w:rPr>
          <w:rFonts w:ascii="Times New Roman" w:hAnsi="Times New Roman"/>
          <w:color w:val="000000"/>
          <w:sz w:val="18"/>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In evaluating our business, we consider and use non-GAAP net income attributable to ordinary shareholders of UP Fintech and non-GAAP net income per ADS - diluted as supplemental measures to review and assess our operating performance. The presentation of the non-GAAP financial measures is not intended to be considered in isolation or as a substitute for the financial information prepared and presented in accordance with the United States Generally Accepted Accounting Principles (“U.S. GAAP”). We define non-GAAP net income attributable to ordinary shareholders of UP Fintech as net income attributable to ordinary shareholders of UP Fintech excluding share-based compensation. Non-GAAP net income per ADS - diluted is non-GAAP net income attributable to ordinary shareholders of UP Fintech divided by the weighted average number of diluted ADSs.</w:t>
      </w:r>
    </w:p>
    <w:p>
      <w:pPr>
        <w:pStyle w:val="TextBody"/>
        <w:bidi w:val="0"/>
        <w:spacing w:before="200" w:after="283"/>
        <w:jc w:val="both"/>
        <w:rPr>
          <w:rFonts w:ascii="Times New Roman" w:hAnsi="Times New Roman"/>
          <w:sz w:val="20"/>
        </w:rPr>
      </w:pPr>
      <w:r>
        <w:rPr>
          <w:rFonts w:ascii="Times New Roman" w:hAnsi="Times New Roman"/>
          <w:color w:val="000000"/>
          <w:sz w:val="22"/>
        </w:rPr>
        <w:t>We present these non-GAAP financial measures because they are used by our management to evaluate our operating performance and formulate business plans. Non-GAAP net income attributable to ordinary shareholders of UP Fintech enables our management to assess our operating results without considering the impact of share-based compensation. We also believe that the use of these non-GAAP financial measures facilitates investors' assessment of our operating performance.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These non-GAAP financial measures are not defined under U.S. GAAP and are not presented in accordance with U.S. GAAP. These non-GAAP financial measures have limitations as an analytical tool. One of the key limitations of using these non-GAAP financial measures is that they do not reflect all items of income and expenses that affect our operations. Share-based compensation has been and may continue to be incurred in our business and are not reflected in the presentation of non-GAAP net income attributable to ordinary shareholders of UP Fintech. Further, these non-GAAP financial measures may differ from the non-GAAP financial information used by other companies, including peer companies, and therefore their comparability may be limited.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These non-GAAP financial measures should not be considered in isolation or construed as alternatives to total operating costs and expenses, net income attributable to ordinary shareholders of UP Fintech or any other measure of performance or as an indicator of our operating performance. Investors are encouraged to review these historical non-GAAP financial measures in light of the most directly comparable GAAP measures. These non-GAAP financial measures presented here may not be comparable to similarly titled measures presented by other companies. Other companies may calculate similarly titled measures differently, limiting the usefulness of such measures when analyzing our data comparatively. We encourage investors and others to review our financial information in its entirety and not rely on a single financial measure.</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About UP Fintech Holding Limited</w:t>
      </w:r>
    </w:p>
    <w:p>
      <w:pPr>
        <w:pStyle w:val="TextBody"/>
        <w:bidi w:val="0"/>
        <w:spacing w:before="200" w:after="283"/>
        <w:jc w:val="both"/>
        <w:rPr>
          <w:rFonts w:ascii="Times New Roman" w:hAnsi="Times New Roman"/>
          <w:sz w:val="20"/>
        </w:rPr>
      </w:pPr>
      <w:r>
        <w:rPr>
          <w:rFonts w:ascii="Times New Roman" w:hAnsi="Times New Roman"/>
          <w:color w:val="000000"/>
          <w:sz w:val="22"/>
        </w:rPr>
        <w:t>UP Fintech Holding Limited is a leading online brokerage firm focusing on global investors. The Company’s proprietary mobile and online trading platform enables investors to trade in equities and other financial instruments on multiple exchanges around the world. The Company offers innovative products and services as well as a superior user experience to customers through its “mobile first” strategy, which enables it to better serve and retain current customers as well as attract new ones. The Company offers customers comprehensive brokerage and value-added services, including trade order placement and execution, margin financing, IPO subscription, ESOP management, investor education, community discussion and customer support. The Company’s proprietary infrastructure and advanced technology are able to support trades across multiple currencies, multiple markets, multiple products, multiple execution venues and multiple clearinghouses.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2"/>
        </w:rPr>
        <w:t xml:space="preserve">For more information on the Company, please visit: </w:t>
      </w:r>
      <w:r>
        <w:rPr>
          <w:rFonts w:ascii="Times New Roman" w:hAnsi="Times New Roman"/>
          <w:sz w:val="22"/>
        </w:rPr>
        <w:t>https://ir.itigerup.com</w:t>
      </w:r>
      <w:r>
        <w:rPr>
          <w:rFonts w:ascii="Times New Roman" w:hAnsi="Times New Roman"/>
          <w:color w:val="000000"/>
          <w:sz w:val="22"/>
        </w:rPr>
        <w:t>.</w:t>
      </w:r>
    </w:p>
    <w:p>
      <w:pPr>
        <w:pStyle w:val="TextBody"/>
        <w:bidi w:val="0"/>
        <w:jc w:val="center"/>
        <w:rPr>
          <w:rFonts w:ascii="Times New Roman" w:hAnsi="Times New Roman"/>
          <w:color w:val="000000"/>
          <w:sz w:val="18"/>
        </w:rPr>
      </w:pPr>
      <w:r>
        <w:rPr>
          <w:rFonts w:ascii="Times New Roman" w:hAnsi="Times New Roman"/>
          <w:color w:val="000000"/>
          <w:sz w:val="18"/>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Safe Harbor Statement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This announcement contains forward−looking statements. These statements are made under the “safe harbor” provisions of the U.S. Private Securities Litigation Reform Act of 1995. These forward−looking statements can be identified by terminology such as “may,” “might,” “aim,” “likely to,” “will,” “expects,” “anticipates,” “future,” “intends,” “plans,” “believes,” “estimates” and similar statements or expressions. Among other statements, the business outlook and quotations from management in this announcement, the Company’s strategic and operational plans and expectations regarding growth and expansion of its business lines, and the Company’s plans for future financing of its business contain forward-looking statements. The Company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including the earnings conference call.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effectively implement its growth strategies; trends and competition in global financial markets; changes in inflation and interest rate; technological advancements; changes in the Company’s revenues and certain cost or expense accounting policies and governmental policies and regulations affecting the Company’s industry and general economic conditions in China, Singapore and other countries; changes in geopolitical policies and conditions; rapid developments in the AI, virtual currency and blockchain industries. Further information regarding these and other risks is included in the Company’s filings with the SEC, including the Company’s annual report on Form 20-F filed with the SEC on April 23, 2025. All information provided in this press release and in the attachments is as of the date of this press release, and the Company undertakes no obligation to update any forward-looking statement, except as required under applicable law. Further information regarding these and other risks is included in the Company’s filings with the SEC.</w:t>
      </w:r>
    </w:p>
    <w:p>
      <w:pPr>
        <w:pStyle w:val="TextBody"/>
        <w:bidi w:val="0"/>
        <w:spacing w:before="200" w:after="283"/>
        <w:jc w:val="both"/>
        <w:rPr>
          <w:rFonts w:ascii="Times New Roman" w:hAnsi="Times New Roman"/>
          <w:sz w:val="20"/>
        </w:rPr>
      </w:pPr>
      <w:r>
        <w:rPr>
          <w:rFonts w:ascii="Times New Roman" w:hAnsi="Times New Roman"/>
          <w:b/>
          <w:color w:val="000000"/>
          <w:sz w:val="22"/>
        </w:rPr>
        <w:t>For investor and media inquiries please contact:</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Investor Relations Contact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UP Fintech Holding Limited</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Email: ir@itiger.com</w:t>
      </w:r>
    </w:p>
    <w:p>
      <w:pPr>
        <w:pStyle w:val="TextBody"/>
        <w:bidi w:val="0"/>
        <w:jc w:val="center"/>
        <w:rPr>
          <w:rFonts w:ascii="Times New Roman" w:hAnsi="Times New Roman"/>
          <w:color w:val="000000"/>
          <w:sz w:val="18"/>
        </w:rPr>
      </w:pPr>
      <w:r>
        <w:rPr>
          <w:rFonts w:ascii="Times New Roman" w:hAnsi="Times New Roman"/>
          <w:color w:val="000000"/>
          <w:sz w:val="18"/>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 FINTECH HOLDING LIMITED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(All amounts in U.S. dollars (“US$”))</w:t>
      </w:r>
    </w:p>
    <w:tbl>
      <w:tblPr>
        <w:tblW w:w="9644" w:type="dxa"/>
        <w:jc w:val="left"/>
        <w:tblInd w:w="0" w:type="dxa"/>
        <w:tblLayout w:type="fixed"/>
        <w:tblCellMar>
          <w:top w:w="28" w:type="dxa"/>
          <w:left w:w="28" w:type="dxa"/>
          <w:bottom w:w="28" w:type="dxa"/>
          <w:right w:w="28" w:type="dxa"/>
        </w:tblCellMar>
      </w:tblPr>
      <w:tblGrid>
        <w:gridCol w:w="5901"/>
        <w:gridCol w:w="146"/>
        <w:gridCol w:w="146"/>
        <w:gridCol w:w="1291"/>
        <w:gridCol w:w="166"/>
        <w:gridCol w:w="146"/>
        <w:gridCol w:w="146"/>
        <w:gridCol w:w="1291"/>
        <w:gridCol w:w="411"/>
      </w:tblGrid>
      <w:tr>
        <w:trPr/>
        <w:tc>
          <w:tcPr>
            <w:tcW w:w="5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393,576,874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791,016,893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Cash-segregated for regulatory purpose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2,464,683,625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3,401,889,322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2,061,474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from customers (net of allowance of US$15,284,002 and</w:t>
              <w:br/>
              <w:t>   US$5,050,501 as of December 31, 2024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1,052,972,649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1,785,416,288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from brokers, dealers, and clearing organizations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2,305,740,507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2,032,966,861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instruments held,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75,547,082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85,541,628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17,629,819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33,956,983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16,720,671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19,077,760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6,327,946,487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8,151,927,209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10,880,673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11,674,596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equipment and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15,358,528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14,364,025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Crypto assets held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4,339,298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9,810,822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10,585,414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10,932,109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10,404,896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63,365,982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74,603,828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6,391,312,469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8,226,531,037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Payables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3,574,651,125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5,095,965,998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Payables to brokers, dealers and clearing organizations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1,914,769,701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1,903,912,312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67,263,254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111,689,582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6,777,918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bonds-current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111,178,103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69,935,059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5,561,712,339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7,299,458,972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159,505,397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4,198,997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1,694,325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5,729,188,720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7,356,352,294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Mezzanine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4,946,478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Mezzanine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7,177,668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4,946,478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619,030,730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634,203,244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Statutory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12,425,463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15,587,049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37,843,547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208,408,915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(2,172,819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9,454,230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UP Fintech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655,234,014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865,507,397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654,946,081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865,232,265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mezzanine equity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6,391,312,469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8,226,531,037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85"/>
        <w:gridCol w:w="146"/>
        <w:gridCol w:w="146"/>
        <w:gridCol w:w="1141"/>
        <w:gridCol w:w="166"/>
        <w:gridCol w:w="146"/>
        <w:gridCol w:w="146"/>
        <w:gridCol w:w="1141"/>
        <w:gridCol w:w="166"/>
        <w:gridCol w:w="146"/>
        <w:gridCol w:w="146"/>
        <w:gridCol w:w="1141"/>
        <w:gridCol w:w="166"/>
        <w:gridCol w:w="146"/>
        <w:gridCol w:w="146"/>
        <w:gridCol w:w="1141"/>
        <w:gridCol w:w="166"/>
        <w:gridCol w:w="146"/>
        <w:gridCol w:w="146"/>
        <w:gridCol w:w="1141"/>
        <w:gridCol w:w="591"/>
      </w:tblGrid>
      <w:tr>
        <w:trPr/>
        <w:tc>
          <w:tcPr>
            <w:tcW w:w="1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6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UP FINTECH HOLDING LIMITED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 CONDENSED CONSOLIDATED STATEMENTS OF COMPREHENSIVE INCOME/(LOSS)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amounts in U.S. dollars (“US$”), except for number of shares (or ADSs) and per share (or ADS)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55,964,174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72,908,334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70,831,784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159,045,052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266,834,904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related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service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11,311,560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10,722,961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55,762,091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73,224,073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71,278,563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191,754,746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256,997,093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9,605,165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26,265,671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30,798,536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29,430,071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77,509,959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124,101,849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175,160,244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175,574,673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391,541,429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612,064,917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(16,731,341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(21,942,151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(19,033,392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(60,803,516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(73,355,788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107,370,508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153,218,093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156,541,281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330,737,913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538,709,129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Execution and clearing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(6,095,132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(4,477,846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(5,322,380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(20,537,788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(47,209,787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(50,325,415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(122,365,537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(167,169,609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(8,554,315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(10,491,419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Communication and market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(11,787,814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(11,800,637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(14,488,775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(38,893,381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(46,456,565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 and branding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(12,888,969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(28,530,053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(49,462,729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(6,432,737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(10,299,692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(14,026,279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(39,278,674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(36,209,499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(73,124,297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(89,436,574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(102,847,320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(252,273,572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(330,327,609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3,469,021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3,299,308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(939,034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37,715,232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65,108,703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54,129,143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81,763,649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207,442,486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(9,488,084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(11,148,629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(8,763,336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(20,409,721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(35,960,865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28,227,148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53,960,074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45,365,807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61,353,928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171,481,621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net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redeemable non-controlling interests to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(533,188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attributable to ordinary shareholders of UP Fintech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28,050,257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53,817,668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45,232,138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60,727,920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170,899,537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2,207,391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2,207,391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cumulative 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(17,440,809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19,154,156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11,130,231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52,836,926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52,001,901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52,675,209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192,843,168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redeemable non-controlling interests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(533,188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 attributable to ordinary shareholders of UP Fintech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10,941,677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52,696,271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51,873,141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52,041,603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192,273,078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per ordinary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per ADS (1 ADS represents 15 Class A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 average number of ordinary shares used in calculating net income</w:t>
              <w:br/>
              <w:t>   per ordinary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2,557,911,677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2,656,878,202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2,664,351,020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2,404,640,854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2,651,608,820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2,687,607,158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2,819,534,135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2,819,097,516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2,534,097,315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2,807,732,382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Reconciliations of Unaudited Non-GAAP Results of Operations Measures to the Nearest Comparable GAAP Measures</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(All amounts in U.S. dollars (“US$”), except for number of ADSs and per ADS data)</w:t>
      </w:r>
    </w:p>
    <w:tbl>
      <w:tblPr>
        <w:tblW w:w="14887" w:type="dxa"/>
        <w:jc w:val="left"/>
        <w:tblInd w:w="0" w:type="dxa"/>
        <w:tblLayout w:type="fixed"/>
        <w:tblCellMar>
          <w:top w:w="28" w:type="dxa"/>
          <w:left w:w="28" w:type="dxa"/>
          <w:bottom w:w="28" w:type="dxa"/>
          <w:right w:w="28" w:type="dxa"/>
        </w:tblCellMar>
      </w:tblPr>
      <w:tblGrid>
        <w:gridCol w:w="1261"/>
        <w:gridCol w:w="146"/>
        <w:gridCol w:w="146"/>
        <w:gridCol w:w="1141"/>
        <w:gridCol w:w="146"/>
        <w:gridCol w:w="146"/>
        <w:gridCol w:w="146"/>
        <w:gridCol w:w="931"/>
        <w:gridCol w:w="146"/>
        <w:gridCol w:w="146"/>
        <w:gridCol w:w="146"/>
        <w:gridCol w:w="1141"/>
        <w:gridCol w:w="146"/>
        <w:gridCol w:w="146"/>
        <w:gridCol w:w="146"/>
        <w:gridCol w:w="1141"/>
        <w:gridCol w:w="146"/>
        <w:gridCol w:w="146"/>
        <w:gridCol w:w="146"/>
        <w:gridCol w:w="931"/>
        <w:gridCol w:w="146"/>
        <w:gridCol w:w="146"/>
        <w:gridCol w:w="146"/>
        <w:gridCol w:w="1141"/>
        <w:gridCol w:w="146"/>
        <w:gridCol w:w="146"/>
        <w:gridCol w:w="146"/>
        <w:gridCol w:w="1141"/>
        <w:gridCol w:w="146"/>
        <w:gridCol w:w="146"/>
        <w:gridCol w:w="146"/>
        <w:gridCol w:w="931"/>
        <w:gridCol w:w="146"/>
        <w:gridCol w:w="146"/>
        <w:gridCol w:w="146"/>
        <w:gridCol w:w="1141"/>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w:t>
              <w:br/>
              <w:t xml:space="preserve">  to ordinary shareholders of </w:t>
              <w:br/>
              <w:t>  UP Fintech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28,050,257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2,421,342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30,471,599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53,817,668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3,230,443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57,048,111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45,232,138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3,677,271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48,909,409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income per ADS - </w:t>
              <w:br/>
              <w: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number of </w:t>
              <w:br/>
              <w:t xml:space="preserve">  ADSs used in calculating diluted </w:t>
              <w:br/>
              <w:t>  net income per ADS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179,173,811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179,173,811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187,968,942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187,968,942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187,939,834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187,939,834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Reconciliations of Unaudited Non-GAAP Results of Operations Measures to the Nearest Comparable GAAP Measures</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(All amounts in U.S. dollars (“US$”), except for number of ADSs and per ADS data)</w:t>
      </w:r>
    </w:p>
    <w:tbl>
      <w:tblPr>
        <w:tblW w:w="10465" w:type="dxa"/>
        <w:jc w:val="left"/>
        <w:tblInd w:w="0" w:type="dxa"/>
        <w:tblLayout w:type="fixed"/>
        <w:tblCellMar>
          <w:top w:w="28" w:type="dxa"/>
          <w:left w:w="28" w:type="dxa"/>
          <w:bottom w:w="28" w:type="dxa"/>
          <w:right w:w="28" w:type="dxa"/>
        </w:tblCellMar>
      </w:tblPr>
      <w:tblGrid>
        <w:gridCol w:w="1261"/>
        <w:gridCol w:w="146"/>
        <w:gridCol w:w="146"/>
        <w:gridCol w:w="1141"/>
        <w:gridCol w:w="146"/>
        <w:gridCol w:w="146"/>
        <w:gridCol w:w="146"/>
        <w:gridCol w:w="931"/>
        <w:gridCol w:w="146"/>
        <w:gridCol w:w="146"/>
        <w:gridCol w:w="146"/>
        <w:gridCol w:w="1141"/>
        <w:gridCol w:w="146"/>
        <w:gridCol w:w="146"/>
        <w:gridCol w:w="146"/>
        <w:gridCol w:w="1141"/>
        <w:gridCol w:w="146"/>
        <w:gridCol w:w="146"/>
        <w:gridCol w:w="146"/>
        <w:gridCol w:w="1036"/>
        <w:gridCol w:w="146"/>
        <w:gridCol w:w="146"/>
        <w:gridCol w:w="146"/>
        <w:gridCol w:w="1141"/>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non-GAAP</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15,609,141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ordinary shareholders of</w:t>
              <w:br/>
              <w:t>  UP Fintech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60,727,920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9,736,901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70,464,821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170,899,537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15,609,141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186,508,678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ADS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ADSs used in calculating diluted</w:t>
              <w:br/>
              <w:t>  net income per ADS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168,939,821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168,939,821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187,182,159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187,182,159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11</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4272</Words>
  <Characters>25211</Characters>
  <CharactersWithSpaces>30246</CharactersWithSpaces>
  <Paragraphs>2110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