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5480" w:right="1060" w:hanging="5472"/>
        <w:spacing w:after="0" w:line="294" w:lineRule="auto"/>
        <w:tabs>
          <w:tab w:leader="none" w:pos="2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 OR</w:t>
      </w:r>
    </w:p>
    <w:p>
      <w:pPr>
        <w:spacing w:after="0" w:line="33" w:lineRule="exact"/>
        <w:rPr>
          <w:sz w:val="24"/>
          <w:szCs w:val="24"/>
          <w:color w:val="auto"/>
        </w:rPr>
      </w:pPr>
    </w:p>
    <w:p>
      <w:pPr>
        <w:ind w:left="480" w:right="2240" w:hanging="472"/>
        <w:spacing w:after="0" w:line="313" w:lineRule="auto"/>
        <w:tabs>
          <w:tab w:leader="none" w:pos="2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480" w:right="1860" w:hanging="5472"/>
        <w:spacing w:after="0" w:line="294" w:lineRule="auto"/>
        <w:tabs>
          <w:tab w:leader="none" w:pos="211"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2" w:lineRule="exact"/>
        <w:rPr>
          <w:rFonts w:ascii="MS PGothic" w:cs="MS PGothic" w:eastAsia="MS PGothic" w:hAnsi="MS PGothic"/>
          <w:sz w:val="18"/>
          <w:szCs w:val="18"/>
          <w:color w:val="auto"/>
          <w:highlight w:val="black"/>
        </w:rPr>
      </w:pPr>
    </w:p>
    <w:p>
      <w:pPr>
        <w:ind w:left="120" w:right="1440" w:hanging="112"/>
        <w:spacing w:after="0" w:line="298" w:lineRule="auto"/>
        <w:tabs>
          <w:tab w:leader="none" w:pos="222"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Commission file number 001-38833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Raffles Place, #35-61 One Raffles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(048616)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Fei Zeng,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18/F, Grandyvic Building, No. 1 Building,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16 Taiyanggong Middle Road, Chaoyang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100020 PRC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+86-10-56216660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Ordinary Shares, par value</w:t>
            </w:r>
          </w:p>
        </w:tc>
        <w:tc>
          <w:tcPr>
            <w:tcW w:w="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Pr>
          <w:p>
            <w:pPr>
              <w:jc w:val="center"/>
              <w:ind w:right="230"/>
              <w:spacing w:after="0" w:line="119" w:lineRule="exact"/>
              <w:rPr>
                <w:sz w:val="20"/>
                <w:szCs w:val="20"/>
                <w:color w:val="auto"/>
              </w:rPr>
            </w:pPr>
            <w:r>
              <w:rPr>
                <w:rFonts w:ascii="Times New Roman" w:cs="Times New Roman" w:eastAsia="Times New Roman" w:hAnsi="Times New Roman"/>
                <w:sz w:val="13"/>
                <w:szCs w:val="13"/>
                <w:color w:val="auto"/>
              </w:rPr>
              <w:t>TIGR</w:t>
            </w:r>
          </w:p>
        </w:tc>
        <w:tc>
          <w:tcPr>
            <w:tcW w:w="280" w:type="dxa"/>
            <w:vAlign w:val="bottom"/>
            <w:vMerge w:val="continue"/>
          </w:tcPr>
          <w:p>
            <w:pPr>
              <w:spacing w:after="0"/>
              <w:rPr>
                <w:sz w:val="10"/>
                <w:szCs w:val="10"/>
                <w:color w:val="auto"/>
              </w:rPr>
            </w:pPr>
          </w:p>
        </w:tc>
        <w:tc>
          <w:tcPr>
            <w:tcW w:w="43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c>
          <w:tcPr>
            <w:tcW w:w="0" w:type="dxa"/>
            <w:vAlign w:val="bottom"/>
          </w:tcPr>
          <w:p>
            <w:pPr>
              <w:spacing w:after="0"/>
              <w:rPr>
                <w:sz w:val="1"/>
                <w:szCs w:val="1"/>
                <w:color w:val="auto"/>
              </w:rPr>
            </w:pPr>
          </w:p>
        </w:tc>
      </w:tr>
      <w:tr>
        <w:trPr>
          <w:trHeight w:val="188"/>
        </w:trPr>
        <w:tc>
          <w:tcPr>
            <w:tcW w:w="48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US$0.00001 per share</w:t>
            </w: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8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American Depositary Shares</w:t>
            </w:r>
          </w:p>
        </w:tc>
        <w:tc>
          <w:tcPr>
            <w:tcW w:w="17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TIGR</w:t>
            </w:r>
          </w:p>
        </w:tc>
        <w:tc>
          <w:tcPr>
            <w:tcW w:w="28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3"/>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2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2,409,470,521 Class A ordinary shares were outstanding as of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6350</wp:posOffset>
            </wp:positionV>
            <wp:extent cx="4774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4"/>
          <w:szCs w:val="14"/>
          <w:color w:val="auto"/>
        </w:rPr>
        <w:t>97,611,722 Class B ordinary shares were outstanding as of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-3175</wp:posOffset>
            </wp:positionV>
            <wp:extent cx="4774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jc w:val="right"/>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2" w:lineRule="exact"/>
        <w:rPr>
          <w:sz w:val="20"/>
          <w:szCs w:val="20"/>
          <w:color w:val="auto"/>
        </w:rPr>
      </w:pPr>
    </w:p>
    <w:p>
      <w:pPr>
        <w:jc w:val="right"/>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4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4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9" w:lineRule="exact"/>
        <w:rPr>
          <w:sz w:val="20"/>
          <w:szCs w:val="20"/>
          <w:color w:val="auto"/>
        </w:rPr>
      </w:pPr>
    </w:p>
    <w:p>
      <w:pPr>
        <w:sectPr>
          <w:pgSz w:w="11900" w:h="16838" w:orient="portrait"/>
          <w:cols w:equalWidth="0" w:num="4">
            <w:col w:w="3900" w:space="720"/>
            <w:col w:w="2020" w:space="720"/>
            <w:col w:w="2780" w:space="720"/>
            <w:col w:w="380"/>
          </w:cols>
          <w:pgMar w:left="320" w:top="769" w:right="339" w:bottom="1440" w:gutter="0" w:footer="0" w:header="0"/>
          <w:type w:val="continuous"/>
        </w:sectPr>
      </w:pPr>
    </w:p>
    <w:p>
      <w:pPr>
        <w:spacing w:after="0" w:line="99" w:lineRule="exact"/>
        <w:rPr>
          <w:sz w:val="20"/>
          <w:szCs w:val="20"/>
          <w:color w:val="auto"/>
        </w:rPr>
      </w:pPr>
    </w:p>
    <w:p>
      <w:pPr>
        <w:ind w:right="80"/>
        <w:spacing w:after="0" w:line="186" w:lineRule="exact"/>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4"/>
          <w:szCs w:val="14"/>
          <w:color w:val="221E1F"/>
        </w:rPr>
        <w:t>†</w:t>
      </w:r>
      <w:r>
        <w:rPr>
          <w:rFonts w:ascii="Times New Roman" w:cs="Times New Roman" w:eastAsia="Times New Roman" w:hAnsi="Times New Roman"/>
          <w:sz w:val="14"/>
          <w:szCs w:val="14"/>
          <w:color w:val="auto"/>
        </w:rPr>
        <w:t xml:space="preserve">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†The term “new or revised financial accounting standard” refers to any update issued by the Financial Accounting Standards Board to its Accounting Standards Codification after April 5, 2012.</w:t>
      </w:r>
    </w:p>
    <w:p>
      <w:pPr>
        <w:spacing w:after="0" w:line="96" w:lineRule="exact"/>
        <w:rPr>
          <w:sz w:val="20"/>
          <w:szCs w:val="20"/>
          <w:color w:val="auto"/>
        </w:rPr>
      </w:pP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4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International Financial Reporting</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4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Standards as issued</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43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by the International Accounting</w:t>
            </w:r>
          </w:p>
        </w:tc>
        <w:tc>
          <w:tcPr>
            <w:tcW w:w="1780" w:type="dxa"/>
            <w:vAlign w:val="bottom"/>
            <w:vMerge w:val="restart"/>
          </w:tcPr>
          <w:p>
            <w:pPr>
              <w:ind w:left="1280"/>
              <w:spacing w:after="0" w:line="161" w:lineRule="exact"/>
              <w:rPr>
                <w:sz w:val="20"/>
                <w:szCs w:val="20"/>
                <w:color w:val="auto"/>
              </w:rPr>
            </w:pPr>
            <w:r>
              <w:rPr>
                <w:rFonts w:ascii="Times New Roman" w:cs="Times New Roman" w:eastAsia="Times New Roman" w:hAnsi="Times New Roman"/>
                <w:sz w:val="14"/>
                <w:szCs w:val="14"/>
                <w:color w:val="auto"/>
                <w:w w:val="97"/>
              </w:rPr>
              <w:t xml:space="preserve">Other </w:t>
            </w:r>
            <w:r>
              <w:rPr>
                <w:rFonts w:ascii="MS PGothic" w:cs="MS PGothic" w:eastAsia="MS PGothic" w:hAnsi="MS PGothic"/>
                <w:sz w:val="14"/>
                <w:szCs w:val="14"/>
                <w:color w:val="auto"/>
                <w:w w:val="97"/>
              </w:rPr>
              <w:t>☐</w:t>
            </w:r>
          </w:p>
        </w:tc>
        <w:tc>
          <w:tcPr>
            <w:tcW w:w="0" w:type="dxa"/>
            <w:vAlign w:val="bottom"/>
          </w:tcPr>
          <w:p>
            <w:pPr>
              <w:spacing w:after="0"/>
              <w:rPr>
                <w:sz w:val="1"/>
                <w:szCs w:val="1"/>
                <w:color w:val="auto"/>
              </w:rPr>
            </w:pPr>
          </w:p>
        </w:tc>
      </w:tr>
      <w:tr>
        <w:trPr>
          <w:trHeight w:val="242"/>
        </w:trPr>
        <w:tc>
          <w:tcPr>
            <w:tcW w:w="2040" w:type="dxa"/>
            <w:vAlign w:val="bottom"/>
            <w:vMerge w:val="continue"/>
          </w:tcPr>
          <w:p>
            <w:pPr>
              <w:spacing w:after="0"/>
              <w:rPr>
                <w:sz w:val="21"/>
                <w:szCs w:val="21"/>
                <w:color w:val="auto"/>
              </w:rPr>
            </w:pPr>
          </w:p>
        </w:tc>
        <w:tc>
          <w:tcPr>
            <w:tcW w:w="4380" w:type="dxa"/>
            <w:vAlign w:val="bottom"/>
          </w:tcPr>
          <w:p>
            <w:pPr>
              <w:jc w:val="center"/>
              <w:ind w:right="28"/>
              <w:spacing w:after="0" w:line="161" w:lineRule="exact"/>
              <w:rPr>
                <w:sz w:val="20"/>
                <w:szCs w:val="20"/>
                <w:color w:val="auto"/>
              </w:rPr>
            </w:pPr>
            <w:r>
              <w:rPr>
                <w:rFonts w:ascii="Times New Roman" w:cs="Times New Roman" w:eastAsia="Times New Roman" w:hAnsi="Times New Roman"/>
                <w:sz w:val="14"/>
                <w:szCs w:val="14"/>
                <w:color w:val="auto"/>
              </w:rPr>
              <w:t xml:space="preserve">Standards Board </w:t>
            </w:r>
            <w:r>
              <w:rPr>
                <w:rFonts w:ascii="MS PGothic" w:cs="MS PGothic" w:eastAsia="MS PGothic" w:hAnsi="MS PGothic"/>
                <w:sz w:val="14"/>
                <w:szCs w:val="14"/>
                <w:color w:val="auto"/>
              </w:rPr>
              <w:t>☐</w:t>
            </w: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2" w:lineRule="exact"/>
        <w:rPr>
          <w:sz w:val="20"/>
          <w:szCs w:val="20"/>
          <w:color w:val="auto"/>
        </w:rPr>
      </w:pPr>
    </w:p>
    <w:p>
      <w:pPr>
        <w:ind w:left="97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or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2" w:lineRule="exact"/>
        <w:rPr>
          <w:sz w:val="20"/>
          <w:szCs w:val="20"/>
          <w:color w:val="auto"/>
        </w:rPr>
      </w:pPr>
    </w:p>
    <w:p>
      <w:pPr>
        <w:ind w:left="104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1057275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3"/>
          </w:tcPr>
          <w:p>
            <w:pPr>
              <w:ind w:left="100"/>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Financial and Certain Other Information</w:t>
            </w:r>
          </w:p>
        </w:tc>
        <w:tc>
          <w:tcPr>
            <w:tcW w:w="5040" w:type="dxa"/>
            <w:vAlign w:val="bottom"/>
            <w:gridSpan w:val="7"/>
            <w:vMerge w:val="restart"/>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Borders>
              <w:bottom w:val="single" w:sz="8" w:color="0000FF"/>
            </w:tcBorders>
            <w:gridSpan w:val="19"/>
            <w:vMerge w:val="continue"/>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CONVENTIONS THAT APPLY TO THIS REPORT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700" w:type="dxa"/>
            <w:vAlign w:val="bottom"/>
            <w:gridSpan w:val="5"/>
            <w:vMerge w:val="restart"/>
          </w:tcPr>
          <w:p>
            <w:pPr>
              <w:spacing w:after="0"/>
              <w:rPr>
                <w:sz w:val="17"/>
                <w:szCs w:val="17"/>
                <w:color w:val="auto"/>
              </w:rPr>
            </w:pPr>
          </w:p>
        </w:tc>
        <w:tc>
          <w:tcPr>
            <w:tcW w:w="382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526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Borders>
              <w:bottom w:val="single" w:sz="8" w:color="0000FF"/>
            </w:tcBorders>
            <w:gridSpan w:val="2"/>
            <w:vMerge w:val="continue"/>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10.</w:t>
            </w:r>
          </w:p>
        </w:tc>
        <w:tc>
          <w:tcPr>
            <w:tcW w:w="64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11.</w:t>
            </w:r>
          </w:p>
        </w:tc>
        <w:tc>
          <w:tcPr>
            <w:tcW w:w="64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12.</w:t>
            </w:r>
          </w:p>
        </w:tc>
        <w:tc>
          <w:tcPr>
            <w:tcW w:w="640" w:type="dxa"/>
            <w:vAlign w:val="bottom"/>
            <w:gridSpan w:val="4"/>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13.</w:t>
            </w:r>
          </w:p>
        </w:tc>
        <w:tc>
          <w:tcPr>
            <w:tcW w:w="640" w:type="dxa"/>
            <w:vAlign w:val="bottom"/>
            <w:gridSpan w:val="4"/>
          </w:tcPr>
          <w:p>
            <w:pPr>
              <w:spacing w:after="0"/>
              <w:rPr>
                <w:sz w:val="17"/>
                <w:szCs w:val="17"/>
                <w:color w:val="auto"/>
              </w:rPr>
            </w:pPr>
          </w:p>
        </w:tc>
        <w:tc>
          <w:tcPr>
            <w:tcW w:w="35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Dividend Arrearages and Delinquencies</w:t>
            </w:r>
          </w:p>
        </w:tc>
        <w:tc>
          <w:tcPr>
            <w:tcW w:w="550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14.</w:t>
            </w:r>
          </w:p>
        </w:tc>
        <w:tc>
          <w:tcPr>
            <w:tcW w:w="640" w:type="dxa"/>
            <w:vAlign w:val="bottom"/>
            <w:gridSpan w:val="4"/>
          </w:tcPr>
          <w:p>
            <w:pPr>
              <w:spacing w:after="0"/>
              <w:rPr>
                <w:sz w:val="17"/>
                <w:szCs w:val="17"/>
                <w:color w:val="auto"/>
              </w:rPr>
            </w:pPr>
          </w:p>
        </w:tc>
        <w:tc>
          <w:tcPr>
            <w:tcW w:w="56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Material Modifications to the Rights of Security Holders and Use of Proceeds</w:t>
            </w:r>
          </w:p>
        </w:tc>
        <w:tc>
          <w:tcPr>
            <w:tcW w:w="3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15.</w:t>
            </w:r>
          </w:p>
        </w:tc>
        <w:tc>
          <w:tcPr>
            <w:tcW w:w="64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16B.</w:t>
            </w:r>
          </w:p>
        </w:tc>
        <w:tc>
          <w:tcPr>
            <w:tcW w:w="520" w:type="dxa"/>
            <w:vAlign w:val="bottom"/>
            <w:gridSpan w:val="2"/>
          </w:tcPr>
          <w:p>
            <w:pPr>
              <w:spacing w:after="0"/>
              <w:rPr>
                <w:sz w:val="17"/>
                <w:szCs w:val="17"/>
                <w:color w:val="auto"/>
              </w:rPr>
            </w:pPr>
          </w:p>
        </w:tc>
        <w:tc>
          <w:tcPr>
            <w:tcW w:w="248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660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tcBorders>
              <w:left w:val="single" w:sz="8" w:color="0000FF"/>
            </w:tcBorders>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16E.</w:t>
            </w:r>
          </w:p>
        </w:tc>
        <w:tc>
          <w:tcPr>
            <w:tcW w:w="52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16F.</w:t>
            </w:r>
          </w:p>
        </w:tc>
        <w:tc>
          <w:tcPr>
            <w:tcW w:w="520" w:type="dxa"/>
            <w:vAlign w:val="bottom"/>
            <w:gridSpan w:val="2"/>
          </w:tcPr>
          <w:p>
            <w:pPr>
              <w:spacing w:after="0"/>
              <w:rPr>
                <w:sz w:val="17"/>
                <w:szCs w:val="17"/>
                <w:color w:val="auto"/>
              </w:rPr>
            </w:pPr>
          </w:p>
        </w:tc>
        <w:tc>
          <w:tcPr>
            <w:tcW w:w="33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1660" w:type="dxa"/>
            <w:vAlign w:val="bottom"/>
            <w:tcBorders>
              <w:top w:val="single" w:sz="8" w:color="0000FF"/>
            </w:tcBorders>
            <w:gridSpan w:val="10"/>
          </w:tcPr>
          <w:p>
            <w:pPr>
              <w:spacing w:after="0"/>
              <w:rPr>
                <w:sz w:val="17"/>
                <w:szCs w:val="17"/>
                <w:color w:val="auto"/>
              </w:rPr>
            </w:pPr>
          </w:p>
        </w:tc>
        <w:tc>
          <w:tcPr>
            <w:tcW w:w="40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16G.</w:t>
            </w:r>
          </w:p>
        </w:tc>
        <w:tc>
          <w:tcPr>
            <w:tcW w:w="52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16H.</w:t>
            </w:r>
          </w:p>
        </w:tc>
        <w:tc>
          <w:tcPr>
            <w:tcW w:w="52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16I.</w:t>
            </w:r>
          </w:p>
        </w:tc>
        <w:tc>
          <w:tcPr>
            <w:tcW w:w="60" w:type="dxa"/>
            <w:vAlign w:val="bottom"/>
            <w:tcBorders>
              <w:bottom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49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16J.</w:t>
            </w:r>
          </w:p>
        </w:tc>
        <w:tc>
          <w:tcPr>
            <w:tcW w:w="520" w:type="dxa"/>
            <w:vAlign w:val="bottom"/>
            <w:gridSpan w:val="2"/>
          </w:tcPr>
          <w:p>
            <w:pPr>
              <w:spacing w:after="0"/>
              <w:rPr>
                <w:sz w:val="17"/>
                <w:szCs w:val="17"/>
                <w:color w:val="auto"/>
              </w:rPr>
            </w:pPr>
          </w:p>
        </w:tc>
        <w:tc>
          <w:tcPr>
            <w:tcW w:w="17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Policies</w:t>
            </w:r>
          </w:p>
        </w:tc>
        <w:tc>
          <w:tcPr>
            <w:tcW w:w="732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60" w:type="dxa"/>
            <w:vAlign w:val="bottom"/>
            <w:gridSpan w:val="2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18.</w:t>
            </w:r>
          </w:p>
        </w:tc>
        <w:tc>
          <w:tcPr>
            <w:tcW w:w="640" w:type="dxa"/>
            <w:vAlign w:val="bottom"/>
            <w:gridSpan w:val="4"/>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752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19.</w:t>
            </w:r>
          </w:p>
        </w:tc>
        <w:tc>
          <w:tcPr>
            <w:tcW w:w="640" w:type="dxa"/>
            <w:vAlign w:val="bottom"/>
            <w:gridSpan w:val="4"/>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8480" w:type="dxa"/>
            <w:vAlign w:val="bottom"/>
            <w:gridSpan w:val="2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 for the Years Ended December 31, 2021, 2022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tcBorders>
              <w:top w:val="single" w:sz="8" w:color="0000FF"/>
            </w:tcBorders>
            <w:gridSpan w:val="21"/>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2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CERTAIN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Fintech Holding Limited, together with its consolidated subsidiaries (collectively, the “Company” or the “Group”), is a leading integrated financial technology platform providing cross-market, multi-product investment experience for investors around the world. In this annual report on Form 20-F, unless otherwise specified or the context otherwise indicates, all references to “UP Fintech Holding Limited” and the “Company” refer to the business and operations of the Company and its consolidated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20-F includes the consolidated financial statements of the Company for the years ended December 31, 2021, 2022 and 2023 (the “Consolidated Financial Statements”) prepared in accordance with United States Generally Accepted Accounting Principles (“U.S. GAAP”) as issued by the Financial Accounting Standards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are presented in U.S. dollars. All references to “U.S. dollars,” “US$,” “U.S. $” and “$” refer to the currency of the United States of America.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language of this annual report on Form 20-F is English. Certain legislative references and technical terms have been cited in their original language so that the correct technical meaning may be ascribed to them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CONVENTIONS THAT APPLY TO THIS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and for the purposes of this Annual Report on Form 20-F only, the following is a glossary of certain terms used throughout this report:</w:t>
      </w:r>
    </w:p>
    <w:p>
      <w:pPr>
        <w:spacing w:after="0" w:line="162" w:lineRule="exact"/>
        <w:rPr>
          <w:sz w:val="20"/>
          <w:szCs w:val="20"/>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means the People’s Republic of China, excluding, for the purposes of this report only, Hong Kong, Macau and Taiwan.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investors” refer to the Chinese speaking population around the globe.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means the ratio of (i) the number of trading customers to (ii) the number of customer accounts.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“customer account(s)” means the registered users who have passed the Know-Your- Client (“KYC”) procedures and opened a trading account on our platform (including APP and website).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with deposits” means the customers who have deposited funds in their accounts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means the legal currency of Hong Kong.</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“NZ$” or “New Zealand dollars” means the legal currency of New Zealand.</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WFOEs” means Beijing Bohu Xiangshang Technology Co., Ltd., or Beijing Bohu, formerly known as Ningxia Xiangshang Yixin Technology Co., Ltd or Ningxia Yixin and Beijing Xiangshang Yixin Technology Co., Ltd., or Beijing Yixin; “WFOE” or “WFOEs” means the wholly-foreign owned entity or wholly-foreign owned entities as provided in the relevant PRC laws and regulations.</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means Beijing Xiangshang Rongke Technology Development Co., LTD, or Beijing Rongke, formerly known as Ningxia Xiangshang Rongke Technology Development Co., LTD or Ningxia Rongke, and Beijing Xiangshang Yiyi Laohu Technology Group Co., LTD, or Beijing Yiyi; “VIE” or “VIEs” means a variable interest entity or variable interest entities.</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rate” means the ratio of (i) the number of trading customers in one period who continue to trade in the next period to (ii) the number of trading customers in the first period.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means the legal currency of China.</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means the legal currency of Singapore.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customer(s)” means the customers who have conducted at least one trading transaction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means the total value of securities traded during a specific period of time.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Fintech,” “we,” “us,” “our” and “our company” means UP Fintech Holding Limited, our Cayman Islands holding company and its subsidiaries, its consolidated VIEs and the subsidiaries of the VIEs.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or “registered user(s)” means those who have registered on our platform (including APP and website) but not necessarily have opened a trading account.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the translations from Renminbi to U.S. dollars and from U.S. dollars to Renminbi in this report were made at a rate of RMB7.0999 to US$1.0000, the exchange rate set forth in the H.10 statistical release of the Federal Reserve Board on December 29, 2023 and the translations from Hong Kong dollars to U.S. dollars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U.S. dollars to Hong Kong dollars in this report were made at a rate of HK$7.8109 to US$1.00, the exchange rate in effect as of December 29, 2023. We make no representation that Renminbi or U.S. dollar amounts referred to in this report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“1933 Act”), and Section 21E of the Securities Exchange Act of 1934, as amended (the “Exchange Act”). These forward-looking statements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“might,” “will,” “intend,”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0"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including the expansion of existing businesses and development of new businesses;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international expansion of our business;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trends regarding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sources and volume of revenues;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costs or expenditures, including those relating to regulatory compliance, personnel, development and sales of our products and services, arrangements with third parties, acquisitions, cost of funding, and litigation;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services;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economic factors such as increased interest rates and inflation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statutes, policies and regulations relating to our industry and our company, including the Holding Foreign Companies Accountable Act, and Chinese regulations impacting the variable interest entities in our corporate structure;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identified as a “Commission-Identified Issuer”, as defined below, this year or in future years.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on whom portions of our business depend, including Interactive Brokers.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referred to herein with the understanding that our actual future results may be materially different from and worse than what we expect. Other sections of this report include additional factors which could adversely impact our business and financial performance, including those described under the heading “Risk Factors.” Moreover, we operate in an evolving environment. New risk factors and uncertainties emerge from time to time and it is not possible for our management to predict all the risk factors and uncertainties, nor can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assess the impact of all the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Projections, assumptions and estimates of our future performance and the future performance of the industry in which we operate are necessarily subject to a high degree of uncertainty and risks due to a variety of factors, including those described in Item 3.D “Risk Factors” and elsewhere in this annual report. You should not place undue reliance on these forward-looking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 Fintech is not a Chinese operating company but a Cayman Islands holding company with no material operations of its own, whose operations are conducted by its subsidiaries and through contractual arrangements with VIEs based in China. This structure involves unique risks to investors. We conduct our operations primarily through our Singapore subsidiaries, New Zealand subsidiaries, U.S. subsidiaries, Hong Kong subsidiaries and the VIEs and their respective subsidiaries in China. The VIE structure is used to replicate foreign investment in Chinese-based companies where Chinese law prohibits direct foreign investment in the operating companies, and contractual arrangements with the VIEs may not be as effective as ownership in providing operational control. Chinese regulatory authorities could disallow this structure, which would likely result in a material change in our operations and/or value of our American Depositary Shares, or “ADSs,” including that it could cause the value of such securities to significantly decline or become worthless. There is no assurance that the PRC government will not intervene or impose restrictions on the company’s ability to transfer cash to or from the holding company, the subsidiaries, the VIEs and investors. For more information about our operations, refer to “Item 3. Key Information – Certain Summary Financial Information Regarding the Company, Its Subsidiaries, and Consolidated VIEs.” Additionally, VIE agreements have not been tested in a court of law. For more information regarding these and other risks, refer to “Item 3. Key Information – Certain Risks Related to Our Chinese Operations and Operating Structure.”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diagram of our corporate structure, as of the date of this annual report, reflecting our significant subsidiaries, the consolidated VIEs, and subsidiaries of the VIEs, is set forth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035040" cy="6574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 2021, the Securities and Exchange Commission, or SEC, adopted final rules, including amendments to Form 20-F, to implement the </w:t>
      </w:r>
      <w:r>
        <w:rPr>
          <w:rFonts w:ascii="Times New Roman" w:cs="Times New Roman" w:eastAsia="Times New Roman" w:hAnsi="Times New Roman"/>
          <w:sz w:val="18"/>
          <w:szCs w:val="18"/>
          <w:i w:val="1"/>
          <w:iCs w:val="1"/>
          <w:color w:val="auto"/>
        </w:rPr>
        <w:t>Holding Foreign Companies Accountable Act</w:t>
      </w:r>
      <w:r>
        <w:rPr>
          <w:rFonts w:ascii="Times New Roman" w:cs="Times New Roman" w:eastAsia="Times New Roman" w:hAnsi="Times New Roman"/>
          <w:sz w:val="18"/>
          <w:szCs w:val="18"/>
          <w:color w:val="auto"/>
        </w:rPr>
        <w:t>, or the HFCAA, which was signed into law on December 18, 2020 and further amended by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Appropriations Act, 2023 signed into law on December 29, 2022. The HFCAA requires the SEC to prohibit the securities of any “covered issuer” from being traded on any of the U.S. securities exchanges, including The Nasdaq Stock Market, or traded “over-the-counter” if the auditor of the covered issuer’s financial statements is not subject to PCAOB inspection for three consecutive years. The SEC rules establish procedures the SEC will follow in determining whether a registrant is a “Commission-Identified Issuer” (as defined in the final rule). On December 16, 2021, the PCAOB issued a report on its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May 26, 2022, the SEC added the Company to its conclusive list of Commission-Identified Issuers. The SEC’s rules require each Commission-Identified Issuer to submit documentation to the SEC annually on or before its annual report due date establishing that it is not owned or controlled by a governmental entity in that foreign jurisdiction. The SEC will impose an initial trading prohibition on an issuer as soon as practicable after it has been conclusively identified as a Commission-Identified Issuer for two consecutive years.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26, 2022, the PCAOB announced that it signed a </w:t>
      </w:r>
      <w:r>
        <w:rPr>
          <w:rFonts w:ascii="Times New Roman" w:cs="Times New Roman" w:eastAsia="Times New Roman" w:hAnsi="Times New Roman"/>
          <w:sz w:val="18"/>
          <w:szCs w:val="18"/>
          <w:i w:val="1"/>
          <w:iCs w:val="1"/>
          <w:color w:val="auto"/>
        </w:rPr>
        <w:t>Statement of Protocol with the China Securities Regulatory Commission</w:t>
      </w:r>
      <w:r>
        <w:rPr>
          <w:rFonts w:ascii="Times New Roman" w:cs="Times New Roman" w:eastAsia="Times New Roman" w:hAnsi="Times New Roman"/>
          <w:sz w:val="18"/>
          <w:szCs w:val="18"/>
          <w:color w:val="auto"/>
        </w:rPr>
        <w:t>, or the CSRC, and the Ministry of Finance, which it described as the first step toward opening access for the PCAOB to inspect and investigate completely registered public accounting firms in Chinese mainland and Hong Kong. On December 15, 2022, the PCAOB vacated its 2021 determination that the positions taken by authorities in Chinese mainland and Hong Kong prevented it from inspecting and investigating completely registered public accounting firms headquartered in those jurisdictions.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Chinese mainland and Hong Kong is subject to uncertainty and depends on a number of factors out of our control. If the PCAOB again becomes unable to conduct a full inspection of our independent registered public accounting firm’s audit documentation related to their audit reports, then our common stock will again be subject to potential delisting from The Nasdaq Stock Market. For more information about these risks, see the risk factor below under the heading “We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in this section. This information should be considered in conjunction with the other risks described below under “Risk Factors,” and the information set forth under the heading “Certain Risks Related to Our Chinese Operations and Operating Structure” is incorporated by reference in “Item 3. Key Information – D.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Related to Our Chinese Operations and Operating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face difficulties in protecting your interests, and your ability to protect your rights through the U.S. courts may be limited, because we are registered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of association and articles of association, the Companies Act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precedents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ours have no general rights under the Cayman Islands law to inspect corporate records or to obtain copies of lists of shareholders of these companies. Our directors have the discretion under our fourth amended and restated articles of association to determine such times and such days that our register and branch register of members, as the case may be, shall be open to inspection by our shareholders or other persons. This may make it more difficult for shareholders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We rely on home country practice with respect to certain corporate governance matters. Our shareholders may be afforded less protection than they otherwise would have under rules and regulations applicable to U.S. domestic issuers.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difficulties in protecting their interests in the face of actions taken by the management, members of the board of directors or controlling shareholders than they would have as public shareholders of a company incorporated in the United States.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agreements that establish the structure for operating some of our activities in China do not comply with PRC regulations,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WFOEs have entered into a series of contractual arrangements with the VIEs and their respective shareholders, respectively, which enable us to (i) exercise effective control over the VIEs, and (ii) receive substantially all of the economic benefits of the VIEs. As a result of these contractual arrangements, we have control over and are the primary beneficiary of the VIEs and hence consolidate their financial results into our consolidated financial statements under U.S. GAAP. See Item 4 “Information on the Company”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knowledge, we believe that (i) the ownership structures of the VIEs in China and our WFOEs, comply with all existing PRC laws and regulations;</w:t>
      </w:r>
    </w:p>
    <w:p>
      <w:pPr>
        <w:spacing w:after="0" w:line="27" w:lineRule="exact"/>
        <w:rPr>
          <w:sz w:val="20"/>
          <w:szCs w:val="20"/>
          <w:color w:val="auto"/>
        </w:rPr>
      </w:pPr>
    </w:p>
    <w:p>
      <w:pPr>
        <w:jc w:val="both"/>
        <w:ind w:firstLine="8"/>
        <w:spacing w:after="0" w:line="251"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our WFOEs, the VIEs and their respective shareholders governed by PRC law are valid, binding and enforceable, and in compliance with PRC laws or regulations currently in effect; and (iii)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our PRC subsidiaries and the VIEs have received all permissions or approvals that we believe are required and necessary to conduct our business operations within the PRC in all material aspects. However, there are substantial uncertainties regarding the interpretation and application of the existing and future PRC laws, regulations and rules. Accordingly, the PRC regulatory authorities may take a view that is not consistent with the opinion of the Company and our PRC legal counsel. It is uncertain whether any new PRC laws or regulations relating to variable interest entity structures will be adopted or if adopted, what they would provide. If we or any of the VIEs are found to be in violation of any existing or future PRC laws or regulations, fail to obtain or maintain any of the required permits or approvals, or inadvertently conclude that such permissions or approvals are not required, or if applicable laws, regulations, or interpretations change and we are required to obtain such permissions or approvals in the future but are unable or fail to do so, the relevant PRC regulatory authorities would have broad discretion to take action in dealing with such violations or failures, including, without limitation:</w:t>
      </w:r>
    </w:p>
    <w:p>
      <w:pPr>
        <w:spacing w:after="0" w:line="19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any permits held by such entities;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activities through any transactions between our WFOEs and the VIEs;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WFOEs or the VIEs, or imposing other requirements with which we or the VIEs may not be able to comply;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activities, including terminating the contractual arrangements with the VIEs and deregistering the equity pledges of the VIEs, which in turn would affect our ability to consolidate, derive economic benefits from, or exert effective control over the VIEs; or</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initial public offering and concurrent private placement to finance our business and activities in China.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VIEs and we are not able to restructure our ownership structure and operations in a satisfactory manner, or any other significant penalties imposed on us in this event, there would have a material adverse effect on our activities in China, and our ability to conduct our business may be negatively affected. This could have a material adverse effect on the market price of our ADSs.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Foreign Investment Law of the PRC and how it may impact the viability of our current corporate structure, corporate governance and business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or the FIL, which became effective on January 1, 2020 and replaced the Wholly Foreign-Invested Enterprise Law of the PRC, the Sino-Foreign Cooperative Joint Venture Enterprise Law of the PRC and the Sino-Foreign Equity Joint Venture Enterprise Law of the PRC, together with their implementation rules and ancillary regulations. On December 26, 2019, the State Council published the Implementation Rules of the Foreign Investment Law, or the FIL Implementation Rules, which took effect on January 1, 2020.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FIL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FIL removes all references to the terms of “de facto control” or “contractual control” as defined in the draft published in 2015 by the Ministry of Commerce, or the MOFCOM, and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The FIL Implementation Rules also remain silent on contractual arrangements. It leaves leeway for the future legislations promulgated by the State Council to provide for contractual arrangements as a form of foreign investment. We currently use contractual arrangements to operate certain businesses, including the consolidated VIEs, in which foreign investors are prohibited or restricted from investing. It is uncertain whether our corporate structure, including our existing VIE structures, will be seen as violating the foreign investment rules.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FIL grants national treatment to foreign invested entities, except for those foreign invested entities that operate in industries deemed to be either “restricted” or “prohibited” in the “negative list”. The current Special Administrative Measures for Market Access of Foreign Investment (Negative List) (2021 Edition) was issued by the National Development and Reform Commission, or the NDRC, and the MOFCOM on December 27, 2021 and became effective on January 1, 2022.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 However, there remain a number of unclear issues under the Measures, including but not limited to its view towards contractual arrangements, including VIE arrangements. Changes in PRC laws and regulations could materially adversely affect the contractual arrangements. If future legislations prescribed by the State Council mandate further actions to be taken by companies with respect to existing contractual arrangement, we may face substantial uncertainties as to whether we can complete such actions in a timely manner, or at all. Failure to take timely and appropriate measures to comply with any of these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similar regulatory compliance requirements could materially and adversely affect our current corporate structure, corporate governance and business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a large portion of our business operations, which may not be as effective as equity ownership in providing operational control, and which we may not be able to enforce in a court of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We conduct our operations primarily through our Singapore subsidiaries, New Zealand subsidiaries, U.S. subsidiaries, Hong Kong subsidiaries and the VIEs and their respective subsidiaries in China. We have relied and expect to continue to rely on contractual arrangements with the VIEs and their respective shareholders to conduct certain of our key supporting functions. Additionally, the VIEs were responsible for generating approximately 1.0% of our revenues for the year ended December 31, 2023.The VIEs are consolidated for accounting purposes, but we do not have and may never have an equity interest in the VIEs. These contractual arrangements are used to provide investors with exposure to foreign investment in China-based companies where Chinese law prohibits direct foreign investment in the operating companies and may not be as effective as equity ownership in providing us with control over the VIEs. For example, the VIEs and their respective shareholders could breach their contractual arrangements with us by, among other things, failing to conduct their operations in an acceptable manner or taking other actions that are detrimental to our interests. Our contractual arrangements with the VIEs and their respective shareholders are described in detail below under the heading “Item 3. Key Information — Contractual Arrangements with the VIEs and Their Respective Shareholders.”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had equity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respective shareholders of their obligations under the contracts to exercise control over the VIEs. The shareholders of the consolidated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See “Item 3. Key Information - Certain Risks Related to Our Chinese Operations and Operating Structure - Any failure by the VIEs or their shareholders to perform their obligations under our contractual arrangements with them would have a material and adverse effect on our business.” Therefore, our contractual arrangements with the VIEs may not be as effective in ensuring our control over the relevant portion of our business operations as equity ownership would be.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PRC legal counsel has advised us that there are substantial uncertainties regarding the interpretation and application of current and future PRC laws, regulations and rules, including those governing VIE arrangements. Additionally, the VIEs contractual arrangements have not been tested in a Chinese court of law.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any of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Additionally, Chinese regulatory authorities could disallow this structure, which would likely result in a material change in our operations and/or a material change in the value of our securities, including that it could cause the value of such securities to significantly decline or become worthless.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and adverse effect on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refer to the shareholders of each VIE as its nominee shareholders because although they remain the holders of equity interests on record in each of the VIEs, pursuant to the terms of the relevant power of attorney, each such shareholder has irrevocably authorized the relevant WFOE to exercise his, her or its rights as a shareholder of the relevant VIE. Additionally, our WFOEs have the sole discretion to receive from the relevant VIE an annual service fee and will make discretionary determinations on whether to collect services fees and on the amount of fees to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collected in future years. To the extent that our WFOEs do not choose to charge service fees to the VIEs, we will not have any contractual rights to collect funds from the VIEs that would be legally enforceable upon liquidation or sale of the VIEs. Under such circumstances, our investors would not derive any benefit from the operation of, or our contractual arrangements with, the VIEs. Furthermore, if the VIEs or their shareholders fail to perform their respective obligations under the contractual arrangements, we may have to incur substantial costs and expend additional resources to enforce such arrangements. We may also have to rely on legal remedies under the PRC law, including seeking specific performance or injunctive relief, and claiming damages, which we cannot assure will be effective under the PRC law. For example, if the shareholders of the VIEs refuse to transfer their equity interests in the VIEs to us or our designee if we exercise the purchase option pursuant to these contractual arrangements, or if they otherwise act in bad faith towards us, then we may have to take legal actions to compel them to perform their contractual obligations.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agreements under our contractual arrangements are governed by the PRC law and provide for the resolution of disputes through arbitration in China. Accordingly, these contracts would be interpreted in accordance with the PRC law and any disputes would be resolved in accordance with PRC legal procedures. There are substantial uncertainties regarding the interpretation and application of current and future PRC laws, regulations and rules regarding the status of the rights of our Cayman Islands holding company with respect to its contractual arrangements with the VIEs and their shareholders. It is uncertain whether any new PRC laws or regulations relating to variable interest entity structures will be adopted or if adopted, what they would provide. Additionally, the legal system in the PRC is developing and rapidly evolving. As a result, uncertainties in the PRC legal system could limit our ability to enforce these contractual arrangements. See “Item 3. Key Information - Certain Risks Related to Our Chinese Operations and Operating Structure</w:t>
      </w:r>
    </w:p>
    <w:p>
      <w:pPr>
        <w:spacing w:after="0" w:line="3" w:lineRule="exact"/>
        <w:rPr>
          <w:sz w:val="20"/>
          <w:szCs w:val="20"/>
          <w:color w:val="auto"/>
        </w:rPr>
      </w:pPr>
    </w:p>
    <w:p>
      <w:pPr>
        <w:jc w:val="both"/>
        <w:ind w:firstLine="8"/>
        <w:spacing w:after="0" w:line="251" w:lineRule="auto"/>
        <w:tabs>
          <w:tab w:leader="none" w:pos="1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system of the PRC is developing and rapidly evolving, and there are inherent uncertainties that may affect the protection afforded to us.” Meanwhile, there are very few precedents and little formal guidance as to how contractual arrangements in the context of a VIE should be interpreted or enforced under the PRC law. There remain significant uncertainties regarding the ultimate outcome of such arbitration. In addition, under the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and enforcement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the VIEs, and our ability to conduct our business may be negatively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 which may materially and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in a timely manner.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VIEs to a PRC entity or individual designated by us, to the extent permitted by the PRC law. If we cannot resolve any conflict of interest or dispute between us and these shareholders, we would have to rely on legal proceedings, which could result in disruption of our business and subject us to substantial uncertainties as to the outcome of any such legal proceedings.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we or our PRC VIEs owe additional taxes, which could negatively affect our financial condition and the value of your investment.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authorities determine that the VIE contractual arrangements were not entered into on an arm’s 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their liabilities without reducing our WFOEs’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VIEs that are material to the operation of certain portions of our business if the VIEs go bankrupt or become subject to a dissolution or liquidation proceeding.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and their subsidiaries hold certain assets that are material to the operation of certain portion of our business, including intellectual properties. If the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the VIEs undergo a voluntary or involuntary liquidation proceeding, independent third-party creditors may claim rights to some or all of these assets, thereby hindering our ability to operate our business, which could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impose restrictions on our ability to transfer cash to or from the holding company, the subsidiaries, the VIEs and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majority of our revenues were generated from our wholly owned subsidiaries in New Zealand, Singapore and the United States for the years ended December 31, 2021, 2022 and 2023. Most of the consolidated VIEs and their subsidiaries operate business in the PRC and their main functions are to support our licensed/registered entities in New Zealand, Singapore, and the United States, etc.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consolidated VIEs and their subsidiaries periodically for the services rendered through inter-company transactions, pursuant to the terms of the contractual arrangements between them. To date, we have not experienced difficulty in transferring cash to or from the holding company, the subsidiaries, the VIEs, and investors. However, there is no assurance that the PRC government will not intervene or impose restrictions on our ability to transfer cash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customer data and privacy, our reputation, financial condition and results of operations will be materially and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information technology networks and systems to securely process, transmit and store electronic information and to communicate among our locations and with our customers and partners. Due to the volume and sensitivity of the personal information and customer data we manage and the nature of our brokerage services and ESOP management services, the security features of our platform and information systems are critical.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security policies and measures, including encryption technology, to protect our proprietary data and customer’s privacy. All customer and transaction data are saved in our own database and operating systems. Only database administrators with the proper authorization have access to the database. In addition, all employees should sign non-disclosure agreements when they join and leave our Company. However, we cannot guarantee our employees will not breach the non-disclosure agreements in the future. Further, as the breadth and complexity of the infrastructure of our platform continues to grow, the potential risk of system breakdown or function failure increases and it is the same for the potential risk of security breaches and cyber-attacks such as viruses, malware or phishing attempts by cyber criminals or other wrongdoers seeking to steal our customer’s data for financial gain or to harm our business operations or reputation. Further, if any person, including any of our employees, negligently disregards or intentionally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breaches our established controls with respect to customer data, or otherwise mismanages or misappropriates that data, we could be subject to significant monetary damages, regulatory enforcement actions, fines or even criminal prosecution in one or more jurisdictions. Unauthorized disclosure of sensitive or confidential customer data, whether through system failure, employee negligence, fraud or misappropriation, could damage our reputation and cause us to lose customers. Cyber-attacks could also adversely affect our operating results, consume internal resources, and result in litigation or potential liabilities for us and otherwise harm our business. We have received several complaints from our customers regarding the leakage of their personal information. Although we have conducted investigation on such leakage, we cannot guarantee that there will not be other similar incidents and complaints. Further, our security management programs are reviewed annually, and therefore, we cannot ensure that such programs will be updated promptly.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by virtue of third party channels, our corporate customers utilize our technology to serve their own customers. Consequently, any leak or abuse of customer data by our third party channels may be perceived by the customers as a result of our failure to protect the customer data and privacy.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which might become a particular concern as we accelerate our international expansion. For information regarding risks relating to privacy and data security laws to which we are subject in China, see “– We may be subject to regulatory compliance costs and enforcement activity relating to Chinese privacy and data security laws.”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laws and regulations in certain jurisdictions impose specific regulatory requirements on cross border transmission of important personal data. We are subject to domestic and international laws relating to the collection, use, retention, security and transfer of personally identifiable information among us and our international subsidiaries. Non-compliance could result in significant penalties or legal liability. Foreign data protection, privacy, and other laws and regulations can impose different obligations or be more restrictive that those in Chinese mainland. Regulatory authorities around the world are considering a number of legislative and regulatory proposals concerning data protection. Also, the interpretation and application of consumer and data protection laws in the U.S., Europe and elsewhere are often uncertain. It is possible that these laws may be interpreted and applied in a manner that is inconsistent with our data practices. These legislative and regulatory proposals, if adopted, and such interpretations could, in addition to the possibility of fines, result in an order requiring that we change our data practices, which could have an adverse effect on our business and results of operations. For example, the General Data Protection Regulation (GDPR), which came into application in the European Union (EU) on May 25, 2018, applies to all of our activities conducted from an establishment in the EU or related to products and services that we offer to EU users. The GDPR created a range of new compliance obligations, which could cause us to change our business practices, and significantly increased financial penalties for non-compliance.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or any future measures when published. Further, to comply with 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compliance costs and enforcement activity relating to Chinese privacy and data security laws.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China, the government is still ramping up regulations with regard to personal information protection. On October 1, 2020, the </w:t>
      </w:r>
      <w:r>
        <w:rPr>
          <w:rFonts w:ascii="Times New Roman" w:cs="Times New Roman" w:eastAsia="Times New Roman" w:hAnsi="Times New Roman"/>
          <w:sz w:val="18"/>
          <w:szCs w:val="18"/>
          <w:i w:val="1"/>
          <w:iCs w:val="1"/>
          <w:color w:val="auto"/>
        </w:rPr>
        <w:t>Information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Technology - Personal Information Security Specification (GB/T 35273-2020) , </w:t>
      </w:r>
      <w:r>
        <w:rPr>
          <w:rFonts w:ascii="Times New Roman" w:cs="Times New Roman" w:eastAsia="Times New Roman" w:hAnsi="Times New Roman"/>
          <w:sz w:val="18"/>
          <w:szCs w:val="18"/>
          <w:color w:val="auto"/>
        </w:rPr>
        <w:t>or the 2020 Specification took effect. Although the 2020 Specification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guideline, and it is not enforceable by law, the authority will use this standard to evaluate our compliance with China’s legal guidelines and regulations regarding personal information protection. Besides, Personal Information Protection Law promulgated 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SCNPC on August 20, 2021 became the most relevant law in China regarding personal information protection and came into effect on November 1, 2021. The Personal Information Protection Law provides serve punishment for those who violates regulations when processing personal information. For details of the relevant PRC Laws, please refer to the section “Regulations on Privacy Protection” below.</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Cyber Security Law of the PRC, which was promulgated by the Standing Committee of the National People’s Congress, or the SCNPC and became effective on June 1, 2017, requires operators of key information infrastructures, which include, among others, public communications and information service and financial industry and other important industries and fields, shall store personal information and important data gathered and produced during operations in China within the territory of China.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 Furthermore, on November 14, 2021, the Cyberspace Administration of China, or the CAC, released the </w:t>
      </w:r>
      <w:r>
        <w:rPr>
          <w:rFonts w:ascii="Times New Roman" w:cs="Times New Roman" w:eastAsia="Times New Roman" w:hAnsi="Times New Roman"/>
          <w:sz w:val="18"/>
          <w:szCs w:val="18"/>
          <w:i w:val="1"/>
          <w:iCs w:val="1"/>
          <w:color w:val="auto"/>
        </w:rPr>
        <w:t>Regulations on the Network Data Security</w:t>
      </w:r>
      <w:r>
        <w:rPr>
          <w:rFonts w:ascii="Times New Roman" w:cs="Times New Roman" w:eastAsia="Times New Roman" w:hAnsi="Times New Roman"/>
          <w:sz w:val="18"/>
          <w:szCs w:val="18"/>
          <w:color w:val="auto"/>
        </w:rPr>
        <w:t>, or the Draft Regulations, for public comments, which stipulates, among others, that a prior cybersecurity review is required for listing abroad of data processors which process over one million users’ personal information, and the listing of data processors in Hong Kong which affects or may affect national security. 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In addition, the CAC published the Decision on Amending the Cyber Security Law (Draft for Comments), or the Decision on the Cyber Security Law on September 14, 2022, pursuant to which the legal liabilities of violating the Cyber Security Law are strengthened. However, as of the date of this annual report, the period for public comment on the draft of the Cyber Security Law has ended while no official rules have been issued, and the Cybersecurity Review Measures, the Draft Regulations and the Decision on the Cyber Security Law remain unclear on whether the relevant requirements will be applicable to companies that have been listed in the United States. Although all of the data centers used for our brokerage service are located overseas, we have several servers located in China to provide user community support and market information. We might need to transmit certain personal data between different locations, and since such data are used for financial services, we might be subject to security assessment requirements as set forth in the Cyber Security Law of the PRC.</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in China or any future measures when published. Further, to comply with 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 For more information regarding risks relating to privacy and data security regulations affecting our business and operations, see “– If we fail to protect customer data and privacy, our reputation, financial condition and results of operations will be materially and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only have contractual control over the entities that provide Internet information provision services in China. We do not own such entities due to the restriction of foreign investment in businesses providing value-added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telecommunication services in China, including Internet information provision services. This may significantly disrupt our business, subject us to sanctions, compromise enforceability of related contractual arrangements, or have other harmful effects on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the CAC, with the involvement of the State Council Information Office, the Ministry of Industry and Information Technology, or the MIIT, and the Ministry of Public Security. The primary role of this new agency is to facilitate the policy-making and legislative development in this field, to direct and coordinate with the relevant departments in connection with online content administration and to deal with cross-ministry regulatory matters in relation to the Internet industry. In practice, PRC regulators, including the CAC, have been increasingly focused on regulation in the areas of data security and data protection, and are enhancing the protection of privacy and data security by rule-making and enforcement actions at central and local levels. For example, on July 7, 2022, the CAC promulgated the Measures on Security Assessment of Cross-border Data Transfer, or the Data Export Measures, which has become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We expect that these areas will receive greater and continued attention and scrutiny from regulators and the public going forward, which could increase our compliance costs and subject us to heightened risks and challenges associated with data security and protection.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Considering our business arrangement and development plan, we have set up another set of VIE structures and intend the new VIE or its subsidiaries to apply for or hold the value-added telecommunications business license(s) as soon as practical to conduct value-added telecommunications business such as Internet information services. See “Item 3. Key Information – Description of Certain PRC Regulations Affecting Our Business.” We cannot guarantee that our new VIE, Beijing Yiyi or its subsidiary, will continue or maintain such value-added telecommunications business license due to uncertainties from PRC governmental authorities.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Beijing Yiyi’s subsidiary, Beijing U-Tiger Network Technology Co., LTD, holds the License for Production and Operation of Radio and TV Programs issued on June 27, 2022, and the Business License for Value-added Telecommunications Business issued on July 27, 2022. Beijing Yiyi’s subsidiary, Beijing Yixin Xiangshang Technology Co.,LTD, holds the License for Production and Operation of Radio and TV Programs issued on May 10, 2021, and the Business License for Value-added Telecommunications Business issued on September 4, 2019. Beijing Yiyi’s subsidiary, Beijing Zhi Jian Feng Yi Information Technology Co., LTD, holds the License for Production and Operation of Radio and TV Programs issued on July 27, 2023, the Business License for Value-added Telecommunications Business issued on July 29, 2021, the License for Publication Business issued on April 25, 2022.</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provision of certain services online may subject us to license requirements in China. For instance, we provide some recorded videos as a way of customer education and occasionally launch other audio-video contents on our platform and our community, which may result in audio-video license requirements from the Ministry of Culture and Tourism, or MCT, National Radio and Television Administration, Cyberspace Administration of China, or their provincial level branches. The Internet Audio-Video Program Services Regulations only allow state-owned or state-controlled enterprises to apply for certain licenses, which means that we may not be able to obtain all required licenses. We also provide some digital works on our website and APP, which may require online publishing service license issued by the National Radio and Television Administration, or the NRTA, or its provincial level branches. In addition, we reprint some articles related to the stock market on our website and APP, and therefore may be subject to permit and approval requirements from the State Council Information Office. Furthermore, we also need to strictly follow the requirements applicable to online content providers set forth by the relevant regulatory authorities, especially for financial information. See “Item 3. Key Information – We are subject to numerous regulations in the PRC, and compliance with these regulations may result in costs, expenses, regulatory enforcement action, and reputational harm that may have a material adverse effect on our business and results of operations” and “Item 3. Key Information – Description of Certain PRC Regulations Affecting Our Business.” Failure to comply with these license or other requirements may subject us to penalties, which may adversely affect our business operations and reputation.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interpretation and application of the existing PRC laws, regulations and policies and possible new laws, regulations or policies relating to the Internet industry have created substantial uncertainties regarding the legality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existing and future foreign investments in, and the businesses and activities of, Internet businesses in China, including our business. We cannot assure you that we have obtained all the permits or licenses related to our Internet related business in China that might be required for conducting our supporting functions in China or will be able to maintain our existing licenses or obtain new ones. In the event that the PRC government considers that we were operating without the proper approvals, licenses or permits, promulgates new laws and regulations that require additional approvals or licenses, or imposes additional restrictions on the operation of any part of our business, it has the power, among other things, to bring enforcement action against us,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that has issued the audit report included in this annual report, KPMG Huazhen LLP, as an auditor of companies that are traded publicly in the United States and as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substantial operations within the PRC and the PCAOB was unable to conduct inspections of the work of our independent registered public accounting firm as it relates to those operations without the approval of the Chinese authorities prior to 2022, our independent registered public accounting firm was not inspected fully by the PCAOB prior to 2022. This prior lack of PCAOB inspections in the PRC prevented the PCAOB from regularly evaluating our independent registered public accounting firm’s audits and its quality control procedures. As a result, investors were previously deprived of the benefits of PCAOB inspections. As discussed above under “Item 3. Key Information,” in 2022 the PCAOB was able to secure complete access to inspect and investigate audit firms in the PRC for the first time, and on December 15, 2022, the PCAOB vacated its 2021 determination that the positions taken by authorities in Chinese mainland and Hong Kong prevented it from inspecting and investigating completely registered public accounting firms headquartered in those jurisdictions.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guarantee that the PCAOB will continue to be able to fully inspect our independent registered public accounting firm’s work in the future, due to factors outside our control. 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full inspections of auditors in the PRC made it more difficult to evaluate the effectiveness of our independent registered public accounting firm’s audit procedures or quality control procedures as compared to auditors outside the PRC that are subject to PCAOB inspections, which could cause investors to lose confidence in our reported financial information and procedures and the quality of our financial statements.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above under “Item 3. Key Information,” the HFCAA requires the SEC to prohibit the securities of any “covered issuer,” including the Company, from being traded on any of the U.S. securities exchanges, including The Nasdaq Stock Market, or traded “over-the-counter,” if the auditor of the covered issuer’s financial statements is not subject to PCAOB inspection for three consecutive years. In December 2021, the SEC adopted final rules, including amendments to Form 20-F, to implement the HFCAA and establish procedures the SEC will follow in determining whether a registrant is a “Commission-Identified Issuer” (as defined in the final rule). Consistent with the HFCAA, these amendments require the submission of documentation to the SEC establishing that a “Commission-Identified Issuer” is not owned or controlled by a governmental entity in that foreign jurisdiction and also require disclosure in a foreign issuer’s annual report regarding the audit arrangements of, and governmental influence on, such registrant,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any consolidated VIEs or other similar structures. On May 26, 2022, the SEC added the Company to its conclusive list of Commission-Identified Issuers.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Accelerating Holding Foreign Companies Accountable Act was signed into law, which amended the HFCAA to shorten the three-year period to two years. As a result, the SEC will impose an initial trading prohibition on an issuer as soon as practicable after it has been conclusively identified as a Commission-Identified Issuer for two consecutive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August 26, 2022, the PCAOB announced that it signed a Statement of Protocol with the CSRC and the Ministry of Finance, which it described as the first step toward opening access for the PCAOB to inspect and investigate completely registered public accounting firms in Chinese mainland and Hong Kong. On December 15, 2022, the PCAOB vacated its 2021 determination that the positions taken by authorities in Chinese mainland and Hong Kong prevented it from inspecting and investigating completely registered public accounting firms headquartered in those jurisdictions. Consequently, the PCAOB is currently able to inspect the work of PCAOB-registered independent registered public accounting firms, including ours, in Chinese mainland and Hong Kong.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whether the PCAOB will continue to be able to satisfactorily conduct inspections of such firms is subject to uncertainty and depends on a number of factors out of our control. If the PCAOB again becomes unable to conduct a full inspection of our independent registered public accounting firm’s audit documentation related to their audit reports for two consecutive years, then our ADSs may be prohibited from trading on U.S. securities exchanges, including The Nasdaq Stock Market, and in the U.S. over-the-counter market, which will limit the liquidity of our ADSs and our access to U.S. capital markets.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HFCAA, related SEC and PCAOB rules, and any additional rulemaking efforts to increase U.S. regulatory access to audit information in China, could cause investor uncertainty for affected companies, including us, and the market price of our ADSs could be materially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regulations in the PRC, and compliance with these regulations may result in costs, expenses, regulatory enforcement action, and reputational harm that may have a material adverse effect on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regulations in the PRC, including those described in detail below under “Item 3. Key Information – Description of Certain PRC Regulations Affecting Our Business.” These regulatory requirements are evolving, and new regulatory requirements affecting us may be adopted. Compliance with these regulations involves costs, fees, and expenses, as well as time and attention from our leadership team. Additionally, if we fail to comply in full with applicable regulations, we may be subject to government enforcement action, which may be costly, impose operational burdens on us, and cause us reputational harm, any of which could have a material adverse effect on our business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 system of the PRC is developing and rapidly evolving, and there are uncertainties that may affect the protection afforded to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activities in China are governed by the PRC laws and regulations. The PRC legal system is generally based on written statutes. Prior court decisions may be cited for reference but have limited precedential value. Since 1979, PRC legislation and regulations have significantly enhanced the protections afforded to various industries in China. However, as these laws and regulations are developing and continue to evolve, interpretation and enforcement of these laws and regulations involve significant uncertainties and different degrees of inconsistency. Some of the laws and regulations are still in the developmental stage and are therefore subject to policy changes. Many laws, regulations, policies and legal requirements have only been recently adopted by PRC central or local government agencies, and their implementation, interpretation and enforcement may involve uncertainty due to the lack of established practice available for reference. We cannot predict the effect of future legal developments in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including the promulgation of new laws, changes in existing laws or their interpretation or enforcement, or the preemption of local regulations by national laws. For example,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As a result, there are substantial uncertainties as to the legal protections available to us. Furthermore, due to the limited volume of published cases and the non-binding nature of prior court decisions, the outcome of the dispute resolution may not be as consistent or predictable as in other more developed jurisdictions, which may limit the legal protection available to us. For example, the Securities Law most recently amended in December 2019 and effective on March 1, 2020, stipulated that the offering and trading of securities outside the PRC which disrupt the domestic market order of the PRC and harm the legitimate rights and interests of domestic investors shall be dealt with pursuant to the relevant provisions of this Securities Law, and legal liability shall be pursued.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 and it has recently indicated an intent to exert more oversight and control over overseas securities offerings and other capital markets activities and foreign investment in China-based companies.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its significant oversight authority into businesses operating in the PRC, the PRC government may intervene or influence our operations as the government deems appropriate to advance regulatory and societal goals and policy positions. Uncertainties regarding the enforcement of laws and the fact that rules and regulations in the PRC can change quickly with little advance notice, along with the risk of the PRC government's significant oversight over our operations, could have a material adverse effect on our business, financial position, results of operations, access to the capital markets, and the market value of our ADSs.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Furthermore, on July 6, 2021, the General Office of the Communist Party of China Central Committee and the General Office of the State Council issued Several Opinions Concerning Lawfully and Strictly Cracking Down Illegal Securities Activities. These opinions call for strengthened regulation over illegal securities activities and supervision on overseas listings by China-based companies like us, and propose to take effective measures, such as promoting the construction of relevant regulatory systems to deal with the risks and incidents faced by China-based overseas-listed companies. On February 17, 2023, the CSRC promulgated </w:t>
      </w:r>
      <w:r>
        <w:rPr>
          <w:rFonts w:ascii="Times New Roman" w:cs="Times New Roman" w:eastAsia="Times New Roman" w:hAnsi="Times New Roman"/>
          <w:sz w:val="18"/>
          <w:szCs w:val="18"/>
          <w:i w:val="1"/>
          <w:iCs w:val="1"/>
          <w:color w:val="auto"/>
        </w:rPr>
        <w:t>Trial Administrative Measures of the Overseas 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 March 31, 2023.</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since the Overseas Listing Trial Measures was newly promulgated, the interpretation, application and enforcement of Overseas Listing Trial Measures remain unclear. Besides, there are still uncertainties as to whether the Overseas Listing Trial Measures and relevant five guidelines would be further amended, revised or updated. Given the substantial uncertainties surrounding the latest CSRC filing requirements at this stage, we cannot assure you that we will be able to complete the filings and fully comply with the relevant new rules on a timely basis, if at all. These regulations, as well as additional oversight or regulation of this nature could have a material adverse effect on our ability to offer or continue to offer securities to investors and could have a material adverse effect on the market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ADSs. Additionally, if our clients fail to meet regulatory requirements, it may impact our underwriting business</w:t>
      </w:r>
      <w:r>
        <w:rPr>
          <w:rFonts w:ascii="Arial" w:cs="Arial" w:eastAsia="Arial" w:hAnsi="Arial"/>
          <w:sz w:val="21"/>
          <w:szCs w:val="21"/>
          <w:color w:val="0D0D0D"/>
        </w:rPr>
        <w:t>,</w:t>
      </w:r>
      <w:r>
        <w:rPr>
          <w:rFonts w:ascii="Times New Roman" w:cs="Times New Roman" w:eastAsia="Times New Roman" w:hAnsi="Times New Roman"/>
          <w:sz w:val="18"/>
          <w:szCs w:val="18"/>
          <w:color w:val="auto"/>
        </w:rPr>
        <w:t xml:space="preserve"> thereby having a negative effect on our revenue. For more details, please refer to “Description of Certain PRC Regulations Affecting Our Business - Regulations Relating to Overseas Offerings”.</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proceeds we received from our initial public offering and the Concurrent Private Placement to make loans or additional capital contributions to our PRC subsidiaries.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2015, the SAFE published the </w:t>
      </w:r>
      <w:r>
        <w:rPr>
          <w:rFonts w:ascii="Times New Roman" w:cs="Times New Roman" w:eastAsia="Times New Roman" w:hAnsi="Times New Roman"/>
          <w:sz w:val="18"/>
          <w:szCs w:val="18"/>
          <w:i w:val="1"/>
          <w:iCs w:val="1"/>
          <w:color w:val="auto"/>
        </w:rPr>
        <w:t>Circular of the State Administration of Foreign Exchange on Reforming the Management Approach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of Foreign Exchange Capital of Foreign-invested Enterprises</w:t>
      </w:r>
      <w:r>
        <w:rPr>
          <w:rFonts w:ascii="Times New Roman" w:cs="Times New Roman" w:eastAsia="Times New Roman" w:hAnsi="Times New Roman"/>
          <w:sz w:val="18"/>
          <w:szCs w:val="18"/>
          <w:color w:val="auto"/>
        </w:rPr>
        <w:t>, or the SAFE Circular 19, which has come into effect since June 1,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According to the SAFE Circular 19, foreign-invested enterprises are allowed to convert their registered capital from foreign exchange to Renminbi and apply such funds to equity investment within the PRC, conditioned upon the investment target’s duly registration with local bank of such reinvestment and open a corresponding special account pending for foreign exchange settlement payment. Further, such conversion will be handled at the bank level and does not need to be approved by the SAFE. The SAFE Circular 19 prohibits foreign-invested enterprises from, among other things, using an RMB fund converted from its foreign exchange capital for expenditure beyond its business scope, investment in securities, providing entrusted loans, repaying loans between nonfinancial enterprises or purchasing real estate not for self-use. The SAFE promulgated the </w:t>
      </w:r>
      <w:r>
        <w:rPr>
          <w:rFonts w:ascii="Times New Roman" w:cs="Times New Roman" w:eastAsia="Times New Roman" w:hAnsi="Times New Roman"/>
          <w:sz w:val="18"/>
          <w:szCs w:val="18"/>
          <w:i w:val="1"/>
          <w:iCs w:val="1"/>
          <w:color w:val="auto"/>
        </w:rPr>
        <w:t>Circular on Reforming and Standardizing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Settlement Management Policy of Capital Account</w:t>
      </w:r>
      <w:r>
        <w:rPr>
          <w:rFonts w:ascii="Times New Roman" w:cs="Times New Roman" w:eastAsia="Times New Roman" w:hAnsi="Times New Roman"/>
          <w:sz w:val="18"/>
          <w:szCs w:val="18"/>
          <w:color w:val="auto"/>
        </w:rPr>
        <w:t>, or the SAFE Circular 16, effective on June 9, 2016, which reiterates some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set forth in the SAFE Circular 19, but changes the prohibition against using RMB capital converted from foreign currency-denominated registered capital of a foreign-invested enterprise to issue RMB entrusted loans, to the prohibition against using such capital to issue loans to non-associated enterprises.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holding company incorporated under the laws of the Cayman Islands, with some of our operations conducted in China, we may make loans to our PRC subsidiaries and VIEs, or we may make additional capital contributions to our wholly foreign-owned subsidiaries in China. Any loans provided by us to our PRC subsidiaries and VIEs are subject to PRC regulations and foreign exchange loan registrations. Such loans to any of our PRC subsidiaries and VIEs cannot exceed a statutory limit and must be filed with SAFE through the online filing system of SAFE pursuant to the applicable PRC regulations. Any such loan with a term of one year or more must be recorded and registered with the National Development and Reform Commission. In addition, the capital of a foreign invested enterprise may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loans or capital contributions to our subsidiaries and VIEs may be constrained by these regulations, and if we fail to comply with such regulations, our ability to capitalize the relevant PRC subsidiaries or fund our operations may be negatively affected, which could materially and adversely affect the liquidity of our relevant PRC subsidiaries or our business, financial condition, results of operations and growth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penalties, including restrictions on our ability to inject capital into our PRC subsidiaries, if our PRC resident shareholders or beneficial owners fail to comply with relevant PRC foreign exchange regulations.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4, 2014, the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the SAFE Circular 37, which replaced the previous</w:t>
      </w:r>
      <w:r>
        <w:rPr>
          <w:rFonts w:ascii="Times New Roman" w:cs="Times New Roman" w:eastAsia="Times New Roman" w:hAnsi="Times New Roman"/>
          <w:sz w:val="18"/>
          <w:szCs w:val="18"/>
          <w:i w:val="1"/>
          <w:iCs w:val="1"/>
          <w:color w:val="auto"/>
        </w:rPr>
        <w:t xml:space="preserve"> Notice on Relevant Issues Concerning Foreign Exchange Administration for Domestic Residents’ Financing and Roundtrip Investment Through Offshore Special Purpose Vehicles</w:t>
      </w:r>
      <w:r>
        <w:rPr>
          <w:rFonts w:ascii="Times New Roman" w:cs="Times New Roman" w:eastAsia="Times New Roman" w:hAnsi="Times New Roman"/>
          <w:sz w:val="18"/>
          <w:szCs w:val="18"/>
          <w:color w:val="auto"/>
        </w:rPr>
        <w:t>, effective on November 1, 2005, or the SAFE Circular 75. The SAFE Circular 37 requires PRC individuals, institutions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who have a habitual residence in the PRC due to economic interests, or collectively referred as the PRC residents, to register with the SAFE or its local branches in connection with their direct establishment or indirect control of an offshore entity, for the purpose of overseas investment and financing, with such PRC residents’ legally owned assets or equity interests in domestic enterprises or offshore assets or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Such offshore entity is referred to as an offshore special purpose vehicle. In addition, such PRC residents must update their foreign exchange registrations with the SAFE when the offshore special purpose vehicle undergoes material events relating to any change of basic information (including change of such PRC residents, name and operation term), increases or decreases in investment amount, share transfers or exchanges, or mergers or divisions. According to the </w:t>
      </w:r>
      <w:r>
        <w:rPr>
          <w:rFonts w:ascii="Times New Roman" w:cs="Times New Roman" w:eastAsia="Times New Roman" w:hAnsi="Times New Roman"/>
          <w:sz w:val="18"/>
          <w:szCs w:val="18"/>
          <w:i w:val="1"/>
          <w:iCs w:val="1"/>
          <w:color w:val="auto"/>
        </w:rPr>
        <w:t>Circular on Further Simplifying and Improving the Administration of Foreign Exchange Concerning Direct Investment</w:t>
      </w:r>
      <w:r>
        <w:rPr>
          <w:rFonts w:ascii="Times New Roman" w:cs="Times New Roman" w:eastAsia="Times New Roman" w:hAnsi="Times New Roman"/>
          <w:sz w:val="18"/>
          <w:szCs w:val="18"/>
          <w:color w:val="auto"/>
        </w:rPr>
        <w:t xml:space="preserve"> released on February 13, 2015 by the SAFE, local banks will examine and handle foreign exchange registration for overseas direct investment, including the initial foreign exchange registration and amendment registration, under the SAFE Circular 37 from June 1, 2015.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shareholder holding interest in an offshore special purpose vehicle, who is a PRC resident as determined by the SAFE Circular 37, fails to fulfill the required foreign exchange registration with the local SAFE branches or its designated banks, the offshore special purpose vehicle may be restricted in its ability to contribute additional capital to its PRC subsidiaries. Moreover, failure to comply with the SAFE registration described above could result in liability under PRC laws for evasion of applicable foreign exchange restrictions.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have completed the SAFE registration pursuant to the SAFE Circular 37. We have requested all of our current shareholders and/or beneficial owners to disclose whether they or their shareholders or beneficial owners fall within the ambit of the SAFE Circular 37 and urged relevant shareholders, upon learning that they are PRC residents, to register with the local SAFE branch or its designated bank as required under the SAFE Circular 37. However, we may not be fully informed of the identities of all our shareholders or beneficial owners who are PRC residents, and we cannot provide any assurance that all of our shareholders and beneficial owners who are PRC residents will comply with our requests to make, obtain or update any applicable registrations or comply with other requirements pursuant to the SAFE Circular 37 or other related rules in a timely manner. Failure of our existing and future shareholders who are PRC residents to register or amend their foreign exchange registrations in a timely manner pursuant to the SAFE Circular 37 and subsequent implementation rules may subject such beneficial owners or our wholly-owned PRC subsidiary to fines and legal sanctions. Failure to register or comply with the relevant requirements may also limit our ability to contribute additional capital to our WFOEs for the research and development and other supporting functions. These risks may have a material adverse effect on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PRC withholding tax on dividends from us and PRC income tax on any gain realized on the transfer of our shares or ADSs if we are deemed a PRC resident enterprise.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described above, we may be treated as a PRC resident enterprise for PRC tax purposes. Under the EIT Law and its implementation rules, PRC withholding tax at the rate of 10% is normally applicable to PRC sourced dividends payable to investors that are non-PRC resident enterprises, which do not have an establishment or place of business in PRC, or which have such establishment or place of business if the relevant income is not effectively connected with the establishment or place of business. Any gain realized on the transfer of ADSs or shares by such non-PRC resident enterprise investors is also subject to a 10% PRC income tax if such gain is regarded as income derived from sources within the PRC. Under the </w:t>
      </w:r>
      <w:r>
        <w:rPr>
          <w:rFonts w:ascii="Times New Roman" w:cs="Times New Roman" w:eastAsia="Times New Roman" w:hAnsi="Times New Roman"/>
          <w:sz w:val="18"/>
          <w:szCs w:val="18"/>
          <w:i w:val="1"/>
          <w:iCs w:val="1"/>
          <w:color w:val="auto"/>
        </w:rPr>
        <w:t>PRC Individual Income Tax Law</w:t>
      </w:r>
      <w:r>
        <w:rPr>
          <w:rFonts w:ascii="Times New Roman" w:cs="Times New Roman" w:eastAsia="Times New Roman" w:hAnsi="Times New Roman"/>
          <w:sz w:val="18"/>
          <w:szCs w:val="18"/>
          <w:color w:val="auto"/>
        </w:rPr>
        <w:t xml:space="preserve"> and its implementation rules, PRC sourced dividends paid to non-PRC individual investors are generally subject to a PRC withholding tax at a rate of 20% and gains from PRC sources realized by such investors on the transfer of ADSs or shares are generally subject to a 20% PRC income tax. While substantially all of our brokerage operations are in New Zealand or Singapore, it is unclear whether dividends we pay with respect to our ADSs, or the gain realized from the transfer of our ADSs, would be treated as the income derived from sources within the PRC and as a result be subject to PRC income tax if we were considered a PRC resident enterprise, as described above.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 If PRC income tax were imposed on gains realized through the transfer of our ADSs or on dividends paid to our non-resident investors, the value of your investment in our ADSs may be materially and adversely affected. Any PRC tax liability described above may be reduced under applicable tax treaties. However, it is unclear whether our ADS holders whose jurisdictions of residence have tax treaties or arrangements with China will be able to obtain the benefits of such tax treaties or arrangements, if the prerequisites provided under the relevant treaties or arrangements were not satisfied.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tax benefits for dividends paid by our PRC subsidiaries to us through our Hong Kong subsidiaries.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EIT Law and its implementation rules, if a non-resident enterprise has not set up an establishment in the PRC, or has set up an establishment therein but its income has no actual connection with such establishment, it will be subject to a withholding tax on its PRC-sourced income at a rate of 10%. Pursuant to the </w:t>
      </w:r>
      <w:r>
        <w:rPr>
          <w:rFonts w:ascii="Times New Roman" w:cs="Times New Roman" w:eastAsia="Times New Roman" w:hAnsi="Times New Roman"/>
          <w:sz w:val="18"/>
          <w:szCs w:val="18"/>
          <w:i w:val="1"/>
          <w:iCs w:val="1"/>
          <w:color w:val="auto"/>
        </w:rPr>
        <w:t>Arrangement between the Chinese mainland and the Hong Kong Special Administrative Region for the Avoidance of Double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and the Prevention of Fiscal Evasion with Respect to Taxes on Income</w:t>
      </w:r>
      <w:r>
        <w:rPr>
          <w:rFonts w:ascii="Times New Roman" w:cs="Times New Roman" w:eastAsia="Times New Roman" w:hAnsi="Times New Roman"/>
          <w:sz w:val="18"/>
          <w:szCs w:val="18"/>
          <w:color w:val="auto"/>
        </w:rPr>
        <w:t>, or the “Double Taxation Arrangement,” the withholding tax rate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by a PRC enterprise to a Hong Kong enterprise is reduced to 5% from a standard rate of 10% if the Hong Kong enterprise directly holds at least 25% of the equity interests of the PRC enterprise. There are also other conditions for enjoying the reduced withholding tax rate according to other relevant tax rules and regulations. See Item 4.B “Business Overview-Operating and Financial Review and Prospects-Regulations Relating to Tax-PRC Regulations on Dividend Withholding Tax.” We cannot assure you that our determination regarding our qualification to enjoy the preferential tax treatment will not be challenged by the relevant PRC tax authority that or we will be able to complete the necessary filings with the relevant PRC tax authority and enjoy the preferential withholding tax rate of 5% under the Double Taxation Arrangement with respect to dividends to be paid by our PRC subsidiaries to our Hong Kong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may restrict our ability to convert Renminbi into foreign currency and remit such currency out of the PRC to pay capital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revenues were largely generated by our wholly owned subsidiaries outside of PRC, which pay the consolidated VIEs and their subsidiaries periodically for the services rendered through inter-company transactions. We do not rely on the consolidated VIEs to distribute earnings to the parent company or to U.S. investors. Under existing PRC foreign exchange regulations, payments of current account items, including profit distributions, interest payments and trade and service-related foreign exchange transactions, can be made in foreign currencies without the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which could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contractual arrangements to control the VIEs due to restrictions or prohibitions on foreign ownership of Internet technology services and other related businesses in China. According to the Negative List (as defined elsewhere in this report) that took effect on January 1, 2022, the restrictions on the controlling stake of Internet technology service companies still exist, and foreign investments in this business are also restricted by other qualifications and requirements under relevant regulations in China.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WFOEs, Beijing Bohu and Beijing Yixin, respectively, have the sole discretion to receive from the relevant VIE an annual service fee at an amount of at least 99% of the respective VIE’s annual net profit. In addition, Beijing Bohu and Beijing Yixin are entitled to receive certain fees for other technical services at the amount mutually agreed upon by Beijing Bohu or Beijing Yixin and the respective VIE. Beijing Bohu and Beijing Yixin did not collect any service fees from the VIEs in the last three fiscal years and will make discretionary determinations on whether to collect services fees and on the amount of fees to be collected. We do not have unfettered access to Beijing Bohu’s, Beijing Yixin’s and the respective VIEs’ revenues due to PRC legal restrictions on the payment of dividends by PRC companies, foreign exchange control restrictions, and the restrictions on foreign investment, among others.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direct ownership in Beijing Bohu and Beijing Yixin, and the contractual arrangements with the VIEs, we are regarded as the primary beneficiary of the VIEs, and we treat them as our consolidated affiliated entities under U.S. GAAP. We have consolidated the financial results of the VIEs in our consolidated financial statements in accordance with U.S.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the VIEs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Powers of Attorney</w:t>
      </w:r>
      <w:r>
        <w:rPr>
          <w:rFonts w:ascii="Times New Roman" w:cs="Times New Roman" w:eastAsia="Times New Roman" w:hAnsi="Times New Roman"/>
          <w:sz w:val="18"/>
          <w:szCs w:val="18"/>
          <w:color w:val="auto"/>
        </w:rPr>
        <w:t>. Pursuant to the Powers of Attorney dated November 1, 2023 among Beijing Bohu and each of the shareholders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replaced and superseded the prior version dated October 11, 2022 because some of the shareholders exited Beijing Rongke, each of the shareholders of Beijing Rongke irrevocably authorized Beijing Bohu to act as its attorney-in-fact to exercise all of its rights as a shareholder of Beijing Rongke, including, but not limited to, the right to attend shareholders’ meetings, vote on any resolution that requires a shareholder vote, such as the sale, transfer, disposal and pledge of all or part of the equity interest owned by such shareholder, and decide on the appointment and removal of directors, supervisors and officers. Beijing Bohu can assign or transfer under the aforementioned Powers of Attorney at its own discretion to any other person or entity without notice to or consent from any or all of the shareholders of Beijing Rongke. The Power of Attorney will remain effective and irrevocable with respect to each shareholder of Beijing Rongke until he or she ceases to be a shareholder of Beijing Rongke.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of the shareholders of Beijing Yiyi entered into a Power of Attorney, which contain terms substantially similar to the Powers of Attorney executed by the shareholders of Beijing Rongke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Exclusive Option Contracts</w:t>
      </w:r>
      <w:r>
        <w:rPr>
          <w:rFonts w:ascii="Times New Roman" w:cs="Times New Roman" w:eastAsia="Times New Roman" w:hAnsi="Times New Roman"/>
          <w:sz w:val="18"/>
          <w:szCs w:val="18"/>
          <w:color w:val="auto"/>
        </w:rPr>
        <w:t>. Pursuant to the Exclusive Option Contract dated November 1, 2023, among Beijing Bohu, Beijing Rongke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Beijing Rongke, which replaced and superseded the version dated October 11, 2022 because some of the shareholders exited Beijing Rongke, the shareholders of Beijing Rongke have irrevocably granted Beijing Bohu an exclusive option to purchase all or part of their equity interests in Beijing Rongke.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Beijing Rongke has irrevocably granted Beijing Bohu an exclusive option to purchase all or part of its assets. Beijing Bohu or its designated person(s) may exercise such options at RMB10 or at the lowest price permitted under applicable PRC laws, whichever is lower. The shareholders of Beijing Rongke undertake that, without Beijing Bohu’s prior written consent, they will not, among other things, (i) create any pledge or encumbrance on their equity interests in Beijing Rongke, (ii) transfer or otherwise dispose of their equity interests in Beijing Rongke, (iii) change Beijing Rongke’s registered capital,</w:t>
      </w:r>
    </w:p>
    <w:p>
      <w:pPr>
        <w:spacing w:after="0" w:line="3" w:lineRule="exact"/>
        <w:rPr>
          <w:sz w:val="20"/>
          <w:szCs w:val="20"/>
          <w:color w:val="auto"/>
        </w:rPr>
      </w:pPr>
    </w:p>
    <w:p>
      <w:pPr>
        <w:jc w:val="both"/>
        <w:ind w:firstLine="8"/>
        <w:spacing w:after="0" w:line="253" w:lineRule="auto"/>
        <w:tabs>
          <w:tab w:leader="none" w:pos="3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revise or amend Beijing Rongke’s articles of association, or (v) allow Beijing Rongke to merge with any other entity. In addition, Beijing Rongke undertakes that, without Beijing Bohu’s prior written consent, it will not, among other things, create any pledge or encumbrance on any of its assets, or enter into any material contracts (except in the ordinary course of business). The Exclusive Option Contract will remain effective for a term of ten years and renewable in accordance with the sole discretion of Beijing Bohu.</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shareholder of Beijing Yiyi entered into an Exclusive Option Contract which contain terms substantially similar to the Exclusive Option Contract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Spouse Consent Letters</w:t>
      </w:r>
      <w:r>
        <w:rPr>
          <w:rFonts w:ascii="Times New Roman" w:cs="Times New Roman" w:eastAsia="Times New Roman" w:hAnsi="Times New Roman"/>
          <w:sz w:val="18"/>
          <w:szCs w:val="18"/>
          <w:color w:val="auto"/>
        </w:rPr>
        <w:t>. Pursuant to the Spouse Consent Letters dated December 17, 2018, the spouse of each married shareholder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restated and amended the version dated June 7, 2018, unconditionally and irrevocably agreed not to assert any rights over the equity interest in Beijing Rongke held by and registered in the name of their spouse. In addition, each of them agreed to be bound by the contractual arrangements described here if the spouse obtains any equity interest in Beijing Rongke for any reason.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the spouse of each shareholder of Beijing Yiyi signed two Spouse Consent Letters, which contain terms substantially similar to the Spouse Consent Letters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Commitment Letters</w:t>
      </w:r>
      <w:r>
        <w:rPr>
          <w:rFonts w:ascii="Times New Roman" w:cs="Times New Roman" w:eastAsia="Times New Roman" w:hAnsi="Times New Roman"/>
          <w:sz w:val="18"/>
          <w:szCs w:val="18"/>
          <w:color w:val="auto"/>
        </w:rPr>
        <w:t>. Pursuant to the Commitment Letters dated November 1, 2023, the shareholders of Beijing Rongke which replaced and superseded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version dated October 11, 2022 because some of the shareholders exited Beijing Rongke, undertake that, when Beijing Bohu exercises its options under the Exclusive Option Contracts, they will refund, without any conditions, any amount and fees to Beijing Bohu which exceed the share purchase price provided in the Exclusive Option Contracts.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each of the shareholders of Beijing Yiyi executed a Commitment Letter, which contain terms substantially similar to the Commitment Letters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Pledge Contracts. </w:t>
      </w:r>
      <w:r>
        <w:rPr>
          <w:rFonts w:ascii="Times New Roman" w:cs="Times New Roman" w:eastAsia="Times New Roman" w:hAnsi="Times New Roman"/>
          <w:sz w:val="18"/>
          <w:szCs w:val="18"/>
          <w:color w:val="auto"/>
        </w:rPr>
        <w:t>Pursuant to the Equity Pledge Contract dated November 1, 2023 among Beijing Bohu(previously known as Ningxia Yixin),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(previously known as Ningxia Rongke) and each shareholder of Beijing Rongke, which replaced and superseded the version dated October 11, 2022 because some of the shareholders exited Beijing Rongke, the shareholders of Beijing Rongke have agreed to pledge 100% of the equity interests in Beijing Rongke for the benefit of Beijing Bohu. In the event of a breach by Beijing Rongke or its any shareholder of contractual obligations under the Equity Pledge Contract, Beijing Bohu, as pledgee, will have the right to dispose of the pledged 100% equity interests in Beijing Bohu and will have priority in receiving the proceeds from such disposal.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shareholders of Beijing Rongke also undertake that, without prior written consent of Beijing Bohu, they will not dispose of, create or allow any encumbrance on the pledged equity interests and rights. Beijing Rongke further undertakes that, there is no other pledge or any other encumbrance on the assets owned by it that will or is likely to affect Beijing Bohu’s pledged equity interests and rights, including but not limited to any transfer of intellectual property rights or transfer of any asset with a value exceeding RMB0.5 million (except in the ordinary course of business). Beijing Rongke further undertakes that, without the prior written consent of Beijing Bohu, they will not assist or allow any encumbrance to be created on the pledged equity interests. The equity pledge under the Amended Equity Pledge Contract will not be effective until Beijing Rongke and its shareholders complete relevant registration with appropriate government authorities.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Beijing Yiyi and each shareholder of Beijing Yiyi entered into an Equity Pledge Contract, which contains terms substantially similar to the Amended Equity Pledge Contract described above.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completed the registration of the equity pledge of Beijing Yiyi on December 27, 2018 under the Equity Pledge Contract with the State Administration for Market Regulation (the “SAMR”), in accordance with the PRC Property Rights Law.</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Agreements. </w:t>
      </w:r>
      <w:r>
        <w:rPr>
          <w:rFonts w:ascii="Times New Roman" w:cs="Times New Roman" w:eastAsia="Times New Roman" w:hAnsi="Times New Roman"/>
          <w:sz w:val="18"/>
          <w:szCs w:val="18"/>
          <w:color w:val="auto"/>
        </w:rPr>
        <w:t>Pursuant to the Exclusive Business Cooperation Agreement dated June 7, 2018 between Beijing Bohu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Beijing Bohu has the exclusive right to provide Beijing Rongke with the consulting and technical services required by Beijing Rongke’s business. Without Beijing Bohu’s prior written consent, Beijing Rongke may not accept any services subject to this Exclusive Business Cooperation Agreement from any third party. Beijing Rongke agrees to pay Beijing Bohu an annual service fee at an amount of no less than 99% of its net profit or the amount which is adjusted at any time at the sole discretion of Beijing Bohu. Beijing Bohu has the exclusive ownership of all the intellectual property rights created as a result of the performance of the Exclusive Business Cooperation Agreement, to the extent permitted by applicable PRC laws. Beijing Rongke also undertakes that upon the request of Beijing Bohu, it will assist Beijing Bohu in the consummation of the assignment or transfer of the relevant intellectual property rights, including but not limited to entering into a transfer or license agreement at no or a nominal consideration as well as fulfilling the necessary registration. To guarantee Beijing Rongke’s performance of its obligations thereunder, its shareholders have pledged their equity interests in Beijing Rongke to Beijing Bohu pursuant to the Equity Pledge Contract. The Exclusive Business Cooperation Agreement will remain effective for a term of ten years and unconditionally renewable at the sole discretion of Beijing Bohu.</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Beijing Yiyi entered into an Exclusive Business Cooperation Agreement, which contains terms substantially similar to the Exclusive Business Cooperation Agreement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PRC Regulations Affecting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regulation by multiple PRC laws, regulations, and governing authorities, as described in more detail below. To date,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and subject to the official interpretation and implementation of and potential further action pursuant to CSRC 1230 Notice, to our knowledge our PRC subsidiaries and the VIEs have received all permissions or approvals that we believe are required and necessary to conduct our current business operations within the PRC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material aspects. In reaching this determination, we have relied in part on the advice of our PRC legal counsel, DaHui Lawyers. However, there is no guarantee that we will be able to obtain all requisite permissions and approvals in the future. Besides, if the CSRC imposes other further regulatory actions or penalties on us, our business and results of operations within the PRC may be materially and adversely affected. In addition, there are substantial uncertainties regarding the interpretation and application of current and future PRC laws, regulations and rules and the PRC regulatory authorities may take a view that is contrary to the opinion of us. For more information, refer to the risk factor above under the heading “If the agreements that establish the structure for operating some of our activities in China do not comply with PRC regulations, or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Securities and Futures Brokerage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existing PRC securities laws and regulations, including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 which was most recently amended on 28 December, 2019 became effective on March 1, 2020, operating securities business in the PRC, including among others, securities brokerage business, futures brokerage business, stock option brokerage business, and securities and futures investment consulting services, requires a securities brokerage license or certain other approvals from the Chinese Securities Regulatory Commission, or the CSRC. In addition, the Securities Law also stipulates that the offering and trading of securities outside the PRC which disrupt the domestic market order of the PRC and harm the legitimate rights and interests of domestic investors shall be dealt with pursuant to the relevant provisions of this Securities Law, and legal liability shall be pursued. This is the second major set of amendments of the Securities Law since the major revision in 2005. Three main changes have been widely reported and discussed, namely, (i) the reform of the registration-based IPO system, (ii) the imposition of more severe punishments for violations, and (iii) the enhancement of protection for retail investors.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13, 2023, the CSRC promulgated the </w:t>
      </w:r>
      <w:r>
        <w:rPr>
          <w:rFonts w:ascii="Times New Roman" w:cs="Times New Roman" w:eastAsia="Times New Roman" w:hAnsi="Times New Roman"/>
          <w:sz w:val="18"/>
          <w:szCs w:val="18"/>
          <w:i w:val="1"/>
          <w:iCs w:val="1"/>
          <w:color w:val="auto"/>
        </w:rPr>
        <w:t>Measures for the Administration of the Securities Brokerage Business</w:t>
      </w:r>
      <w:r>
        <w:rPr>
          <w:rFonts w:ascii="Times New Roman" w:cs="Times New Roman" w:eastAsia="Times New Roman" w:hAnsi="Times New Roman"/>
          <w:sz w:val="18"/>
          <w:szCs w:val="18"/>
          <w:color w:val="auto"/>
        </w:rPr>
        <w:t xml:space="preserve">, which became effective on February 28, 2023. Under the </w:t>
      </w:r>
      <w:r>
        <w:rPr>
          <w:rFonts w:ascii="Times New Roman" w:cs="Times New Roman" w:eastAsia="Times New Roman" w:hAnsi="Times New Roman"/>
          <w:sz w:val="18"/>
          <w:szCs w:val="18"/>
          <w:i w:val="1"/>
          <w:iCs w:val="1"/>
          <w:color w:val="auto"/>
        </w:rPr>
        <w:t>Measures for the Administration of the Securities Brokerage Business</w:t>
      </w:r>
      <w:r>
        <w:rPr>
          <w:rFonts w:ascii="Times New Roman" w:cs="Times New Roman" w:eastAsia="Times New Roman" w:hAnsi="Times New Roman"/>
          <w:sz w:val="18"/>
          <w:szCs w:val="18"/>
          <w:color w:val="auto"/>
        </w:rPr>
        <w:t xml:space="preserve">, an overseas securities business entity that conducts securities business or establishes a representative office in Chinese mainland shall obtain the approval of the securities regulatory authority of the State Council. The specific measures shall be formulated by the securities regulatory agency of the State Council and submitted to the State Council for approval. An overseas securities business entity violating Article 95 of the Regulations on Supervision and Administration of Securities Firms, directly or through its affiliates conducting activities such as opening account, marketing and other activities of overseas securities trading services for domestic investors without authorization, shall be penalized in accordance with the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such laws and regulations may result in penalties, including rectification requirements, confiscation of illegal proceeds, fines or even shutting down of business. In relation to our business in the PRC, one of our PRC entities received a rectification notice issued by the Beijing branch of the CSRC in September 2016, which required us, among others, to refrain from providing support to unauthorized foreign service providers that conduct securities business in China. Following the notice, we took certain rectification measures, including among others, (i) removing links to, and access to account opening functions of the website and the APP previously developed by such PRC entity; (ii) deleting “Zhengquan” (securities in Chinese) and “Gupiao” (stocks in Chinese) from the name of the APP previously developed by such PRC entity; and (iii) timely submitting in writing to the Beijing branch of the CSRC to brief on the rectification measures made by such PRC entity. Afterwards, we had communicated with the Beijing branch of the CSRC for a few times and further adjusted our business in China to comply with PRC laws. We believed that we had taken necessary measures in response to the above notice.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on December 30, 2022, the CSRC issued another notice, or CSRC 1230 Notice, stating that we had carried out cross-border securities business for Chinese mainland investors without approval from the CSRC, and such activities constitute illegal operation of securities business under the Securities Law of the PRC. The CSRC 1230 Notice set out two principal rectification requirements: (i) we should stop all incremental illegal operations in Chinese mainland, such as soliciting and developing any new Chinese mainland customers or opening new securities accounts for them; and (ii) we should properly handle the existing accounts held by Chinese mainland investors by allowing them to continue their transactions through such accounts. However, we are strictly prohibited from accepting any incremental funds that violate PRC foreign exchange regulations to such existing accounts. Furthermore, on February 15, 2023, the CSRC published its official reply in response to the public attention on the CSRC 1230 Notice,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emphasizing its core requirements of “prohibiting incremental illegal business effectively and solving existing issues properly” in relation to its supervision and regulation of our business operations in Chinese mainland. We have been actively and will use best efforts to continue to be in cooperation with CSRC to satisfy 1230 Notice and meet the rectification requirements set out under CSRC 1230 Notice. Starting from May 18, 2023, our APP “Tiger International” has been removed from the PRC application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cannot assure you that we will not be subject to further investigation or scrutiny or be imposed any additional requirements in the future. Besides, if the CSRC is not satisfied with our rectification measures or the CSRC imposes other further regulatory actions or penalties on us, our business and results of operations may be materially and adversely affected. See Item 3.D “Risk Factors-Risks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MOFCOM and NDRC promulgated on December 27, 2021 the Special Administrative Measures for Market Access of Foreign Investment (Negative List) (2021 Edition), or the Negative List, which took effect on January 1, 2022. Specifically, the Negative List provides that foreign investors shall hold no more than 50% of the equity interests in a service provider operating certain value-added telecommunications services other than for e-commerce, domestic multi-party communication, store and forward class and call center.</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15, 2019, the </w:t>
      </w:r>
      <w:r>
        <w:rPr>
          <w:rFonts w:ascii="Times New Roman" w:cs="Times New Roman" w:eastAsia="Times New Roman" w:hAnsi="Times New Roman"/>
          <w:sz w:val="18"/>
          <w:szCs w:val="18"/>
          <w:i w:val="1"/>
          <w:iCs w:val="1"/>
          <w:color w:val="auto"/>
        </w:rPr>
        <w:t>Foreign Investment Law of PRC</w:t>
      </w:r>
      <w:r>
        <w:rPr>
          <w:rFonts w:ascii="Times New Roman" w:cs="Times New Roman" w:eastAsia="Times New Roman" w:hAnsi="Times New Roman"/>
          <w:sz w:val="18"/>
          <w:szCs w:val="18"/>
          <w:color w:val="auto"/>
        </w:rPr>
        <w:t>, or the FIL, was issued by the National People’s Congress and took effect on January 1, 2020, which also provides that the industries in which foreign investment is not restricted and prohibited shall be administered under the principle of equal treatment to domestic investment. On December 26, 2019, the State Council published the FIL Implementation Rules, which took effect on January 1, 2020.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Foreign investment in telecommunications companies in the PRC is governed by the </w:t>
      </w:r>
      <w:r>
        <w:rPr>
          <w:rFonts w:ascii="Times New Roman" w:cs="Times New Roman" w:eastAsia="Times New Roman" w:hAnsi="Times New Roman"/>
          <w:sz w:val="18"/>
          <w:szCs w:val="18"/>
          <w:i w:val="1"/>
          <w:iCs w:val="1"/>
          <w:color w:val="auto"/>
        </w:rPr>
        <w:t>Provisions on Administration of Foreign-Invested Telecommunications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w:t>
      </w:r>
      <w:r>
        <w:rPr>
          <w:rFonts w:ascii="Times New Roman" w:cs="Times New Roman" w:eastAsia="Times New Roman" w:hAnsi="Times New Roman"/>
          <w:sz w:val="18"/>
          <w:szCs w:val="18"/>
          <w:color w:val="auto"/>
        </w:rPr>
        <w:t>, or the Foreign-Invested Telecommunications Enterprises Provisions, which were promulgated by the State Council on December 11, 2001,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on September 10, 2008 and February 6, 2016. The Foreign-Invested Telecommunications Enterprises Provisions prohibits a foreign investor from holding over 50% of the total equity interests in any value-added telecommunications service business in Chinese mainland. On March 29, 2022, the State Council published the Decision of the State Council to Amend and Repeal Certain Administrative Regulations, among which the Foreign-Invested Telecommunications Enterprises Provisions was further amended. The latest version removes certain requirements for foreign-invested telecommunications enterprises and came into effect on May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Internet Companies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Value-Added Telecommunication Services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Telecommunications Regulations of the PRC</w:t>
      </w:r>
      <w:r>
        <w:rPr>
          <w:rFonts w:ascii="Times New Roman" w:cs="Times New Roman" w:eastAsia="Times New Roman" w:hAnsi="Times New Roman"/>
          <w:sz w:val="18"/>
          <w:szCs w:val="18"/>
          <w:color w:val="auto"/>
        </w:rPr>
        <w:t xml:space="preserve">, or the Telecommunications Regulations, promulgated by the State Council on September 25, 2000 and amended on July 29, 2014 and February 6, 2016, telecommunication service providers must obtain an operating license prior to the commencement operations. The Telecommunications Regulations categorize telecommunication services into basic telecommunication services and value-added telecommunication services. According to the </w:t>
      </w:r>
      <w:r>
        <w:rPr>
          <w:rFonts w:ascii="Times New Roman" w:cs="Times New Roman" w:eastAsia="Times New Roman" w:hAnsi="Times New Roman"/>
          <w:sz w:val="18"/>
          <w:szCs w:val="18"/>
          <w:i w:val="1"/>
          <w:iCs w:val="1"/>
          <w:color w:val="auto"/>
        </w:rPr>
        <w:t>Catalog of Telecommunications Business</w:t>
      </w:r>
      <w:r>
        <w:rPr>
          <w:rFonts w:ascii="Times New Roman" w:cs="Times New Roman" w:eastAsia="Times New Roman" w:hAnsi="Times New Roman"/>
          <w:sz w:val="18"/>
          <w:szCs w:val="18"/>
          <w:color w:val="auto"/>
        </w:rPr>
        <w:t>, attached to the Telecommunications Regulations, information services provided via fixed network, mobile network and Internet fall within value-added telecommunication services.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services”. Under the Telecommunications Regulations and relevant administrative measures, commercial operators of value-added telecommunications services must first obtain a license for conducting Internet content provision services, or an “ICP License”, from the Ministry of Industry and Information Technology, or the MIIT, or its provincial level branches. Otherwise, such operator might be subject to sanctions including corrective orders and warnings, imposition of fines and confiscation of illegal gains and, in the case of significant infringement, orders to close the website.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affiliated entity, Beijing Yiyi’s subsidiaries have applied for or obtained ICP License for providing financial and market information to our users, while we cannot guarantee that Beijing Yiyi’s subsidiaries may at all times continue or maintain such license(s) due to uncertainties from PRC governmental authorities. With respect to the risk of not obtaining, continue or maintain the ICP License, please refer to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Mobile Internet Applications Information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APP is also regulated by the </w:t>
      </w:r>
      <w:r>
        <w:rPr>
          <w:rFonts w:ascii="Times New Roman" w:cs="Times New Roman" w:eastAsia="Times New Roman" w:hAnsi="Times New Roman"/>
          <w:sz w:val="18"/>
          <w:szCs w:val="18"/>
          <w:i w:val="1"/>
          <w:iCs w:val="1"/>
          <w:color w:val="auto"/>
        </w:rPr>
        <w:t>Provisions on the Administration of Mobile Internet Applications Information Services</w:t>
      </w:r>
      <w:r>
        <w:rPr>
          <w:rFonts w:ascii="Times New Roman" w:cs="Times New Roman" w:eastAsia="Times New Roman" w:hAnsi="Times New Roman"/>
          <w:sz w:val="18"/>
          <w:szCs w:val="18"/>
          <w:color w:val="auto"/>
        </w:rPr>
        <w:t xml:space="preserve">, or the APP Provisions, promulgated by the Cyberspace Administration of China (CAC), on June 28, 2016 and amended in 2022. The latest version became effective on August 1, 2022. According to the APP Provisions, the providers of APPs shall not create, copy, publish or distribute information and content that is prohibited by laws and regulations. However, we cannot assure that all the information or content displayed on, retrieved from or linked to our APP comply with the requirements of the APP Provisions at all times. If our APP were found to be violating the APP Provisions, we may be subject to administrative penalties, including warning, service suspension or removal of our APP from the relevant APP store, which may materially and adversely affect our business and operating results. Besides, the MIIT issued the </w:t>
      </w:r>
      <w:r>
        <w:rPr>
          <w:rFonts w:ascii="Times New Roman" w:cs="Times New Roman" w:eastAsia="Times New Roman" w:hAnsi="Times New Roman"/>
          <w:sz w:val="18"/>
          <w:szCs w:val="18"/>
          <w:i w:val="1"/>
          <w:iCs w:val="1"/>
          <w:color w:val="auto"/>
        </w:rPr>
        <w:t>Notice of Carrying out the Filing of Mobile Internet Applications</w:t>
      </w:r>
      <w:r>
        <w:rPr>
          <w:rFonts w:ascii="Times New Roman" w:cs="Times New Roman" w:eastAsia="Times New Roman" w:hAnsi="Times New Roman"/>
          <w:sz w:val="18"/>
          <w:szCs w:val="18"/>
          <w:color w:val="auto"/>
        </w:rPr>
        <w:t xml:space="preserve"> on July 21, 2023, which proposes the requirements that developers of Apps engaged in Internet information services within the PRC must comply with certain filing requirements in accordance with the relevant regulations and such holders shall not engage in the App Internet information service without completion of such filing. See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Audio-Video Program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Regulations on Internet Audio-Video Program Services</w:t>
      </w:r>
      <w:r>
        <w:rPr>
          <w:rFonts w:ascii="Times New Roman" w:cs="Times New Roman" w:eastAsia="Times New Roman" w:hAnsi="Times New Roman"/>
          <w:sz w:val="18"/>
          <w:szCs w:val="18"/>
          <w:color w:val="auto"/>
        </w:rPr>
        <w:t>, or the Internet Audio-Video Program Services Regulations promulgated by the State Administration of Press, Publication, Radio, Film and Television, or the “SAPPRFT” (which has been divided into National Radio and Television Administration, or NRTA, National Press and Publication Administration, or NPPA, and China Film Administration), which became effective on January 31, 2008 and was amended on August 28, 2015, sets forth the principal rules and requirements on the Internet audio-video program services. According to the Internet Audio-Video Program Services Regulations and other regulations, an Internet audio-video program service provider must obtain an audio-video license issued by National Radio and Television Administration before spreading audio-video programs via the Internet. The audio-video program services are defined as the activities of making, editing and integrating audio-video programs and providing them to the public via the Internet or providing services for other people to upload and spread audio-video programs. In addition, the Internet Audio-Video Program Services Regulations only allow state-owned or state-controlled enterprises to apply for such license. Any entity that fails to obtain an audio-video license but operates relevant audio-video services may face administrative penalties including warnings, rectification orders and fines of no more than RMB30,000, and in severe cases, bans from doing business, confiscation of equipment utilized in providing such services and fines ranging from one to two times of the investment amounts of the entity.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Internet Publishing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2016, the SAPPRFT, and the MIIT jointly issued the Administrative Measures of Internet Publishing Services, or the Internet Publishing Measures, which became effective on March 10, 2016. According to the Internet Publishing Measures, an entity shall obtain an online publishing service license issued by the provincial branch of NPPA to provide online publishing services. Online publishing services refer to the provision of online publications to the public through information networks. Online publications refer to digital works with publishing features such as having been edited, produced or processed and are made available to the public through information networks.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Financial Information Services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26, 2018, the CAC promulgated the </w:t>
      </w:r>
      <w:r>
        <w:rPr>
          <w:rFonts w:ascii="Times New Roman" w:cs="Times New Roman" w:eastAsia="Times New Roman" w:hAnsi="Times New Roman"/>
          <w:sz w:val="18"/>
          <w:szCs w:val="18"/>
          <w:i w:val="1"/>
          <w:iCs w:val="1"/>
          <w:color w:val="auto"/>
        </w:rPr>
        <w:t>Provisions on Administration of Financial Information Services</w:t>
      </w:r>
      <w:r>
        <w:rPr>
          <w:rFonts w:ascii="Times New Roman" w:cs="Times New Roman" w:eastAsia="Times New Roman" w:hAnsi="Times New Roman"/>
          <w:sz w:val="18"/>
          <w:szCs w:val="18"/>
          <w:color w:val="auto"/>
        </w:rPr>
        <w:t>, taking effect on February 1, 2019. These provisions set forth general qualification, management and content requirements for financial information service providers if they provide financial information or data that may affect the financial market for users who engage in financial analysis, financial transactions, financial decisions or other financial activities. Specifically, financial information service providers are required to disclose the sources of the financial information or data in a clear and accurate manner, and shall not make, copy, publish or disseminate any content that covers, among others, false financial information that may detriment national financial security or stability of society, fictional event or news regarding the financial market (including that related to securities, funds, futures or foreign currency), or certain financial products or services that are forbidden by the competent regulatory authorities. Violations of any of the requirements in these provisions may subject the financial information service providers to penalties such as public condemnation and rectification orders.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News Dissemination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State Council Information Office promulgated the </w:t>
      </w:r>
      <w:r>
        <w:rPr>
          <w:rFonts w:ascii="Times New Roman" w:cs="Times New Roman" w:eastAsia="Times New Roman" w:hAnsi="Times New Roman"/>
          <w:sz w:val="18"/>
          <w:szCs w:val="18"/>
          <w:i w:val="1"/>
          <w:iCs w:val="1"/>
          <w:color w:val="auto"/>
        </w:rPr>
        <w:t>Interim Administrative Regulations for Publication News by Internet Websites</w:t>
      </w:r>
      <w:r>
        <w:rPr>
          <w:rFonts w:ascii="Times New Roman" w:cs="Times New Roman" w:eastAsia="Times New Roman" w:hAnsi="Times New Roman"/>
          <w:sz w:val="18"/>
          <w:szCs w:val="18"/>
          <w:color w:val="auto"/>
        </w:rPr>
        <w:t xml:space="preserve"> in 2000 and </w:t>
      </w:r>
      <w:r>
        <w:rPr>
          <w:rFonts w:ascii="Times New Roman" w:cs="Times New Roman" w:eastAsia="Times New Roman" w:hAnsi="Times New Roman"/>
          <w:sz w:val="18"/>
          <w:szCs w:val="18"/>
          <w:i w:val="1"/>
          <w:iCs w:val="1"/>
          <w:color w:val="auto"/>
        </w:rPr>
        <w:t xml:space="preserve">Administrative Regulations for Internet News Information Services </w:t>
      </w:r>
      <w:r>
        <w:rPr>
          <w:rFonts w:ascii="Times New Roman" w:cs="Times New Roman" w:eastAsia="Times New Roman" w:hAnsi="Times New Roman"/>
          <w:sz w:val="18"/>
          <w:szCs w:val="18"/>
          <w:color w:val="auto"/>
        </w:rPr>
        <w:t>in 2017. These regulations stipulate that general websites established by non-news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may publish news released by certain official news agencies if such websites satisfy the requirements set forth in these regulations but may not publish news items produced by themselves or other news sources. These regulations also require the general websites of non-news organizations to obtain permit and approval from the State Council Information Office at both the provincial and national level before they commence providing news dissemination services.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Cyber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Internet information in China is heavily regulated and restricted from as a national security issue stand point. The Standing Committee of the National People’s Congress, or the SCNPC, enacted the </w:t>
      </w:r>
      <w:r>
        <w:rPr>
          <w:rFonts w:ascii="Times New Roman" w:cs="Times New Roman" w:eastAsia="Times New Roman" w:hAnsi="Times New Roman"/>
          <w:sz w:val="18"/>
          <w:szCs w:val="18"/>
          <w:i w:val="1"/>
          <w:iCs w:val="1"/>
          <w:color w:val="auto"/>
        </w:rPr>
        <w:t>Decision on Internet Security Protection</w:t>
      </w:r>
      <w:r>
        <w:rPr>
          <w:rFonts w:ascii="Times New Roman" w:cs="Times New Roman" w:eastAsia="Times New Roman" w:hAnsi="Times New Roman"/>
          <w:sz w:val="18"/>
          <w:szCs w:val="18"/>
          <w:color w:val="auto"/>
        </w:rPr>
        <w:t xml:space="preserve"> in December 2000, as further amended in August 2009, which impose criminal liabilities on persons or entities that: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the use of the Internet in ways that would result in the leakage of state secrets or dissemination of socially destabilizing content. If an Internet information service provider violates these measures, the MPS and the local security bureaus may revoke its operating license and shut down its websites.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2016, the SCNPC promulgated the </w:t>
      </w:r>
      <w:r>
        <w:rPr>
          <w:rFonts w:ascii="Times New Roman" w:cs="Times New Roman" w:eastAsia="Times New Roman" w:hAnsi="Times New Roman"/>
          <w:sz w:val="18"/>
          <w:szCs w:val="18"/>
          <w:i w:val="1"/>
          <w:iCs w:val="1"/>
          <w:color w:val="auto"/>
        </w:rPr>
        <w:t>Cyber Security Law of the PRC</w:t>
      </w:r>
      <w:r>
        <w:rPr>
          <w:rFonts w:ascii="Times New Roman" w:cs="Times New Roman" w:eastAsia="Times New Roman" w:hAnsi="Times New Roman"/>
          <w:sz w:val="18"/>
          <w:szCs w:val="18"/>
          <w:color w:val="auto"/>
        </w:rPr>
        <w:t>, or the Cyber Security Law, which became effective on June 1, 2017. The Cyber Security Law requires that network operators, which include,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providing certain Internet services through our APP and website. The Cyber Security Law further requires Internet information service providers to formulate contingency plans for network security incidents, report to the competent departments immediately upon the occurrence of any incident endangering cyber security and take corresponding remedial measures. In addition, according to the Cyber Security Law, operators of key information infrastructures, which include public communications and information service, energy, transportation, water conservancy, financial industry, public services, e-government affairs and other important industries and fields, shall store personal information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important data gathered and produced during operations in the PRC within the territory of the PRC.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 On September 14, 2022, the CAC published the Decision on Amending the Cyber Security Law (Draft for Comments), pursuant to which the legal liabilities of violating the Cyber Security Law are strengthened. As of the date of this annual report, the period for public comment on this draft of the Cyber Security Law has ended while no official rules are issued.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The CAC may voluntarily conduct cyber security review if any network products and services and activities of data process affects or may affect national security.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need to take certain security assessment measures on the personal data transmitted cross border. With respect to the risk of personal information and important data storage and cross border transmission, please refer to “Item 3. Key Information – Certain Risks Related to Our Chinese Operations and Operating Structure – If we fail to protect customer data and privacy, our reputation, financial condition and results of operations will be materially and adversely affected.”</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CSRC's </w:t>
      </w:r>
      <w:r>
        <w:rPr>
          <w:rFonts w:ascii="Times New Roman" w:cs="Times New Roman" w:eastAsia="Times New Roman" w:hAnsi="Times New Roman"/>
          <w:sz w:val="18"/>
          <w:szCs w:val="18"/>
          <w:i w:val="1"/>
          <w:iCs w:val="1"/>
          <w:color w:val="auto"/>
        </w:rPr>
        <w:t>Administrative Measures for Network and Information Security in the Securities and Futures Industries</w:t>
      </w:r>
      <w:r>
        <w:rPr>
          <w:rFonts w:ascii="Times New Roman" w:cs="Times New Roman" w:eastAsia="Times New Roman" w:hAnsi="Times New Roman"/>
          <w:sz w:val="18"/>
          <w:szCs w:val="18"/>
          <w:color w:val="auto"/>
        </w:rPr>
        <w:t xml:space="preserve">, which went into effect on May 1, 2023, regulate the network and information security of core institutions, operating institutions, and IT system service institutions in the industry. On August 6, 2023, the SAMR and the National Standardization Administration Committee jointly published the </w:t>
      </w:r>
      <w:r>
        <w:rPr>
          <w:rFonts w:ascii="Times New Roman" w:cs="Times New Roman" w:eastAsia="Times New Roman" w:hAnsi="Times New Roman"/>
          <w:sz w:val="18"/>
          <w:szCs w:val="18"/>
          <w:i w:val="1"/>
          <w:iCs w:val="1"/>
          <w:color w:val="auto"/>
        </w:rPr>
        <w:t>Data Security Risk Prevention and Control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and Futures Industry—Guidelines of Data Classification (GB/T 42775-2023)</w:t>
      </w:r>
      <w:r>
        <w:rPr>
          <w:rFonts w:ascii="Times New Roman" w:cs="Times New Roman" w:eastAsia="Times New Roman" w:hAnsi="Times New Roman"/>
          <w:sz w:val="18"/>
          <w:szCs w:val="18"/>
          <w:color w:val="auto"/>
        </w:rPr>
        <w:t>, which took effect on the same date, and describes the methods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classifying the data used or generated in the securities and futures industries. Although such specification is not a mandatory national standard but a recommended guideline, and it is not enforceable by law, the authority may use this standard to evaluate an entity’s compliance with China’s legal guidelines and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17, 2023, the SAMR and the National Standardization Administration Committee announced the issuance of the </w:t>
      </w:r>
      <w:r>
        <w:rPr>
          <w:rFonts w:ascii="Times New Roman" w:cs="Times New Roman" w:eastAsia="Times New Roman" w:hAnsi="Times New Roman"/>
          <w:sz w:val="18"/>
          <w:szCs w:val="18"/>
          <w:i w:val="1"/>
          <w:iCs w:val="1"/>
          <w:color w:val="auto"/>
        </w:rPr>
        <w:t>National Standards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People’s Republic of China (No. 1 of 2023)</w:t>
      </w:r>
      <w:r>
        <w:rPr>
          <w:rFonts w:ascii="Times New Roman" w:cs="Times New Roman" w:eastAsia="Times New Roman" w:hAnsi="Times New Roman"/>
          <w:sz w:val="18"/>
          <w:szCs w:val="18"/>
          <w:color w:val="auto"/>
        </w:rPr>
        <w:t>, which contains 12 sets of national standards on cybersecurity under the National Technical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Standardization Committee of China, or TC260, including the </w:t>
      </w:r>
      <w:r>
        <w:rPr>
          <w:rFonts w:ascii="Times New Roman" w:cs="Times New Roman" w:eastAsia="Times New Roman" w:hAnsi="Times New Roman"/>
          <w:sz w:val="18"/>
          <w:szCs w:val="18"/>
          <w:i w:val="1"/>
          <w:iCs w:val="1"/>
          <w:color w:val="auto"/>
        </w:rPr>
        <w:t>Information Security Technology - Basic Requirements for Competence of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Workforce (GB/T 42446-2023)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26, 2023, the amended </w:t>
      </w:r>
      <w:r>
        <w:rPr>
          <w:rFonts w:ascii="Times New Roman" w:cs="Times New Roman" w:eastAsia="Times New Roman" w:hAnsi="Times New Roman"/>
          <w:sz w:val="18"/>
          <w:szCs w:val="18"/>
          <w:i w:val="1"/>
          <w:iCs w:val="1"/>
          <w:color w:val="auto"/>
        </w:rPr>
        <w:t>Counterespionage Law of the People’s Republic of China</w:t>
      </w:r>
      <w:r>
        <w:rPr>
          <w:rFonts w:ascii="Times New Roman" w:cs="Times New Roman" w:eastAsia="Times New Roman" w:hAnsi="Times New Roman"/>
          <w:sz w:val="18"/>
          <w:szCs w:val="18"/>
          <w:color w:val="auto"/>
        </w:rPr>
        <w:t xml:space="preserve"> was promulgated which came into effect on July 1, 2023, establishing a close connection between data security and national security. It provides, among others, that engaging in the unauthorized provision of data or conducting cyberattacks against specific authorities is categorized as acts falling within the scope of espionage, and unlawfully acquiring or possessing documents, data, materials, or items that qualify as state secrets is strictly forbidden.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May 29, 2023, the Secretariat of the National Information Security Standardization Technical Committee published the </w:t>
      </w:r>
      <w:r>
        <w:rPr>
          <w:rFonts w:ascii="Times New Roman" w:cs="Times New Roman" w:eastAsia="Times New Roman" w:hAnsi="Times New Roman"/>
          <w:sz w:val="18"/>
          <w:szCs w:val="18"/>
          <w:i w:val="1"/>
          <w:iCs w:val="1"/>
          <w:color w:val="auto"/>
        </w:rPr>
        <w:t>Practice 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Standards - Implementation Guidelines for Cyber Data Security Risk Assessment</w:t>
      </w:r>
      <w:r>
        <w:rPr>
          <w:rFonts w:ascii="Times New Roman" w:cs="Times New Roman" w:eastAsia="Times New Roman" w:hAnsi="Times New Roman"/>
          <w:sz w:val="18"/>
          <w:szCs w:val="18"/>
          <w:color w:val="auto"/>
        </w:rPr>
        <w:t>, implementing the requirements of the</w:t>
      </w:r>
      <w:r>
        <w:rPr>
          <w:rFonts w:ascii="Times New Roman" w:cs="Times New Roman" w:eastAsia="Times New Roman" w:hAnsi="Times New Roman"/>
          <w:sz w:val="18"/>
          <w:szCs w:val="18"/>
          <w:i w:val="1"/>
          <w:iCs w:val="1"/>
          <w:color w:val="auto"/>
        </w:rPr>
        <w:t xml:space="preserve"> Data Security Law </w:t>
      </w:r>
      <w:r>
        <w:rPr>
          <w:rFonts w:ascii="Times New Roman" w:cs="Times New Roman" w:eastAsia="Times New Roman" w:hAnsi="Times New Roman"/>
          <w:sz w:val="18"/>
          <w:szCs w:val="18"/>
          <w:color w:val="auto"/>
        </w:rPr>
        <w:t>on data security risk assessment, which outlines the approach, workflow and key components of the data security risk assessment, including data security management, data processing activities, data security technology, and personal information protection.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December 8, 2023, the CAC promulgated the </w:t>
      </w:r>
      <w:r>
        <w:rPr>
          <w:rFonts w:ascii="Times New Roman" w:cs="Times New Roman" w:eastAsia="Times New Roman" w:hAnsi="Times New Roman"/>
          <w:sz w:val="18"/>
          <w:szCs w:val="18"/>
          <w:i w:val="1"/>
          <w:iCs w:val="1"/>
          <w:color w:val="auto"/>
        </w:rPr>
        <w:t>Administrative Measures for the Reporting of Cybersecurity Incidents (for public comments)</w:t>
      </w:r>
      <w:r>
        <w:rPr>
          <w:rFonts w:ascii="Times New Roman" w:cs="Times New Roman" w:eastAsia="Times New Roman" w:hAnsi="Times New Roman"/>
          <w:sz w:val="18"/>
          <w:szCs w:val="18"/>
          <w:color w:val="auto"/>
        </w:rPr>
        <w:t>, which imposed obligations on network platform operators to report to the in-charge cyberspace administration when an incident that might endanger network security occurred.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Privacy Protection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Several Provisions on Regulating the Market Order of Internet Information Services</w:t>
      </w:r>
      <w:r>
        <w:rPr>
          <w:rFonts w:ascii="Times New Roman" w:cs="Times New Roman" w:eastAsia="Times New Roman" w:hAnsi="Times New Roman"/>
          <w:sz w:val="18"/>
          <w:szCs w:val="18"/>
          <w:color w:val="auto"/>
        </w:rPr>
        <w:t xml:space="preserve"> issued by the MIIT in December 2011 and the Cyber Security Law, an Internet information service provider may not collect any user’s personal information or provide any such information to third parties without that user’s consent, and it must also expressly inform that user of the method, content and purpose of the collection and processing of such user’s personal information and may only collect such information as necessary for the provision of its services. In addition, pursuant to the </w:t>
      </w:r>
      <w:r>
        <w:rPr>
          <w:rFonts w:ascii="Times New Roman" w:cs="Times New Roman" w:eastAsia="Times New Roman" w:hAnsi="Times New Roman"/>
          <w:sz w:val="18"/>
          <w:szCs w:val="18"/>
          <w:i w:val="1"/>
          <w:iCs w:val="1"/>
          <w:color w:val="auto"/>
        </w:rPr>
        <w:t>Decision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Strengthening Internet Information Protection </w:t>
      </w:r>
      <w:r>
        <w:rPr>
          <w:rFonts w:ascii="Times New Roman" w:cs="Times New Roman" w:eastAsia="Times New Roman" w:hAnsi="Times New Roman"/>
          <w:sz w:val="18"/>
          <w:szCs w:val="18"/>
          <w:color w:val="auto"/>
        </w:rPr>
        <w:t>issued by the SCNPC in December 2012, the</w:t>
      </w:r>
      <w:r>
        <w:rPr>
          <w:rFonts w:ascii="Times New Roman" w:cs="Times New Roman" w:eastAsia="Times New Roman" w:hAnsi="Times New Roman"/>
          <w:sz w:val="18"/>
          <w:szCs w:val="18"/>
          <w:i w:val="1"/>
          <w:iCs w:val="1"/>
          <w:color w:val="auto"/>
        </w:rPr>
        <w:t xml:space="preserve"> Order for the Protection of Telecommunication and Internet User’s Personal Information </w:t>
      </w:r>
      <w:r>
        <w:rPr>
          <w:rFonts w:ascii="Times New Roman" w:cs="Times New Roman" w:eastAsia="Times New Roman" w:hAnsi="Times New Roman"/>
          <w:sz w:val="18"/>
          <w:szCs w:val="18"/>
          <w:color w:val="auto"/>
        </w:rPr>
        <w:t>issued by the MIIT in July 2013 and the Cyber Security Law, any collection and use of a user’s personal information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of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Ninth Amendment to the Criminal Law</w:t>
      </w:r>
      <w:r>
        <w:rPr>
          <w:rFonts w:ascii="Times New Roman" w:cs="Times New Roman" w:eastAsia="Times New Roman" w:hAnsi="Times New Roman"/>
          <w:sz w:val="18"/>
          <w:szCs w:val="18"/>
          <w:color w:val="auto"/>
        </w:rPr>
        <w:t xml:space="preserve"> issued by the SCNPC in August 2015 and becoming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customer’s information;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serious loss of criminal evidence; or (iv) other severe situation, and any individual or entity that (i) sells or provides personal information to others in a way violating the applicable law, or (ii) steals or illegally obtain any personal information, shall be subject to criminal penalty in severe situation.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w:t>
      </w:r>
      <w:r>
        <w:rPr>
          <w:rFonts w:ascii="Times New Roman" w:cs="Times New Roman" w:eastAsia="Times New Roman" w:hAnsi="Times New Roman"/>
          <w:sz w:val="18"/>
          <w:szCs w:val="18"/>
          <w:i w:val="1"/>
          <w:iCs w:val="1"/>
          <w:color w:val="auto"/>
        </w:rPr>
        <w:t>Interpretations of the Supreme People’s Court and the Supreme People’s Procuratorate of the PRC on Several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of Law in Handling Criminal Cases of Infringing Personal Information</w:t>
      </w:r>
      <w:r>
        <w:rPr>
          <w:rFonts w:ascii="Times New Roman" w:cs="Times New Roman" w:eastAsia="Times New Roman" w:hAnsi="Times New Roman"/>
          <w:sz w:val="18"/>
          <w:szCs w:val="18"/>
          <w:color w:val="auto"/>
        </w:rPr>
        <w:t>, issued in May 2017 and effective June 2017, clarified certain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conviction and sentencing of the criminals in relation to personal information infringement. Further, the NPC promulgated a new National Security Law, effective July 2015, to replace the former National Security Law and covers various types of national security including technology security and information security.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2019, the Secretariat of the Cyberspace Administration of China, the General Office of the MIIT, the General Office of the Ministry of Public Security and the SAMR jointly promulgated the </w:t>
      </w:r>
      <w:r>
        <w:rPr>
          <w:rFonts w:ascii="Times New Roman" w:cs="Times New Roman" w:eastAsia="Times New Roman" w:hAnsi="Times New Roman"/>
          <w:sz w:val="18"/>
          <w:szCs w:val="18"/>
          <w:i w:val="1"/>
          <w:iCs w:val="1"/>
          <w:color w:val="auto"/>
        </w:rPr>
        <w:t>Circular on Issuing the Methods for Identifying Unlawful Collection and Use of Personal Information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Applications</w:t>
      </w:r>
      <w:r>
        <w:rPr>
          <w:rFonts w:ascii="Times New Roman" w:cs="Times New Roman" w:eastAsia="Times New Roman" w:hAnsi="Times New Roman"/>
          <w:sz w:val="18"/>
          <w:szCs w:val="18"/>
          <w:color w:val="auto"/>
        </w:rPr>
        <w:t>, which defines actions that may be regarded as violating the Network Security Law and other personal information protection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regulations, including, among other things, failure to publicize the rules for collection and use of personal information, failure to expressly state the purpose, manner and scope of collecting and using personal information, collection and use of personal information without consent of users, provision of personal information to others without consent, and failure to provide the function of deleting or correcting personal information as required by law. On March 12, 2021, the aforesaid four departments jointly promulgated the </w:t>
      </w:r>
      <w:r>
        <w:rPr>
          <w:rFonts w:ascii="Times New Roman" w:cs="Times New Roman" w:eastAsia="Times New Roman" w:hAnsi="Times New Roman"/>
          <w:sz w:val="18"/>
          <w:szCs w:val="18"/>
          <w:i w:val="1"/>
          <w:iCs w:val="1"/>
          <w:color w:val="auto"/>
        </w:rPr>
        <w:t>Circular on Issuing the Provision on the Range of Personal Information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Common Types of Mobile Internet Application</w:t>
      </w:r>
      <w:r>
        <w:rPr>
          <w:rFonts w:ascii="Times New Roman" w:cs="Times New Roman" w:eastAsia="Times New Roman" w:hAnsi="Times New Roman"/>
          <w:sz w:val="18"/>
          <w:szCs w:val="18"/>
          <w:color w:val="auto"/>
        </w:rPr>
        <w:t>, which came into effect on May 1, 2021. This circular defines specific information that 39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internet application (“APP(s)”), including mobile applications and programs on mobile applications, such as WeChat Mini Program, may collect for the basic functions of such APPs.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2020, the SAMR and Standardization Administration of China, or SAC, jointly published the </w:t>
      </w:r>
      <w:r>
        <w:rPr>
          <w:rFonts w:ascii="Times New Roman" w:cs="Times New Roman" w:eastAsia="Times New Roman" w:hAnsi="Times New Roman"/>
          <w:sz w:val="18"/>
          <w:szCs w:val="18"/>
          <w:i w:val="1"/>
          <w:iCs w:val="1"/>
          <w:color w:val="auto"/>
        </w:rPr>
        <w:t>Information Security Technology -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Security Specification (GB/T 35273-2020), </w:t>
      </w:r>
      <w:r>
        <w:rPr>
          <w:rFonts w:ascii="Times New Roman" w:cs="Times New Roman" w:eastAsia="Times New Roman" w:hAnsi="Times New Roman"/>
          <w:sz w:val="18"/>
          <w:szCs w:val="18"/>
          <w:color w:val="auto"/>
        </w:rPr>
        <w:t>or the 2020 Specification, proposed by the National Information Security Standardization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as an amendment to and replacement for the version published in November 2017 (GB/T 35273-2017). The 2020 Specification, which took effect on October 1, 2020, explains and reinforces the Cyber Security Law. Though the 2020 Specification is not a mandatory national standard but a recommended guideline, and it is not enforceable by law, the authority may use this standard to evaluate an entity’s compliance with China’s legal guidelines and regulations. The 2020 Specification outlines that “controllers” are those who collect personal information for providing a product or service. The “subject” is the individual or entity that provides the personal information to the controller. The 2020 Specification seeks to provide the subject with more autonomy in how and when they provide personal information to controllers. Although the 2020 Specification clarifies issues such as biometric data, multiple business functions, and explicit consent, it is still unclear to what extent the new standard will be enforced in China.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Furthermore, on August 20, 2021, the SCNPC promulgated the </w:t>
      </w:r>
      <w:r>
        <w:rPr>
          <w:rFonts w:ascii="Times New Roman" w:cs="Times New Roman" w:eastAsia="Times New Roman" w:hAnsi="Times New Roman"/>
          <w:sz w:val="18"/>
          <w:szCs w:val="18"/>
          <w:i w:val="1"/>
          <w:iCs w:val="1"/>
          <w:color w:val="auto"/>
        </w:rPr>
        <w:t>Personal Information Protection Law,</w:t>
      </w:r>
      <w:r>
        <w:rPr>
          <w:rFonts w:ascii="Times New Roman" w:cs="Times New Roman" w:eastAsia="Times New Roman" w:hAnsi="Times New Roman"/>
          <w:sz w:val="18"/>
          <w:szCs w:val="18"/>
          <w:color w:val="auto"/>
        </w:rPr>
        <w:t xml:space="preserve"> or the Information Protection Law, which became effective on November 1, 2021. The Information Protection Law stipulates that the Cyberspace Administration of China is responsible for coordinating the protection of personal information and the related supervision and administration. The Information Protection Law also expressly stipulates that those who process personal information in violation of regulations or fail to take necessary security measures when processing personal information will be ordered to make corrections by the authority responsible for personal information protection, and given a warning, with their illegal gains confiscated. If the violator refuses to make corrections, it shall be subject to a fine of not more than RMB1.0 million. The person in charge directly responsible and other persons directly responsible shall be imposed a fine of not less than RMB10,000 but not more than RMB100,000. In case of any severe illegal acts as stipulated in the Information Protection Law, the violator shall be ordered to make corrections by the authority responsible for personal information protection, have its illegal gains confiscated and be subject to a fine of not more than RMB50.0 million or no more than 5% of the turnover in the previous year, as well as a suspension of the relevant business, suspension for rectification, revocation of relevant business permit or business license by the relevant competent authorities. The person in charge directly responsible and other persons directly responsible shall be imposed a fine of not less than RMB100.0 thousand but not more than RMB1.0 million.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or the Data Security Law, was passed by the SCNPC on June 10, 2021 and came into effect on September 1, 2021. The Data Security Law requires the data processor to establish and improve a whole-process data security management system, organize data security education and training, and take corresponding technical measures and other necessary measures to safeguard data security. In conducting data processing activities by using the Internet or any other information network, the data processor shall perform the above data security protection obligations on the basis of the hierarchical cybersecurity protection system. Any violation of the provisions and requirements under the Data Security Law may subject a data processor to rectifications, warnings, fines, suspension of the related business, revocation of licenses or even criminal liabilities.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2021, the CAC released the Regulations on the Network Data Security, or the Draft Regulations, for public comments, which stipulates, among others, that a prior cybersecurity review is required for listing abroad of data processors which process over one million users’ personal information, and the listing of data processors in Hong Kong which affects or may affect national security.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7, 2022, the CAC promulgated the Measures on Security Assessment of Cross-border Data Transfer, or the Data Export Measures, which became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In December 2022, the MIIT released the Administrative Measures for Data Security in the Field of Industry and Information Technology (for Trial Implementation), which came into effect on January 1, 2023. The Administrative Measures for Data Security in the Field of Industry and Information Technology (for Trial Implementation) requires the data processor in the field of industry and information technology to review data on a periodical basis, identify important data and core data in accordance with the relevant standards and specifications, and form its specific catalogue. The CAC has also issued the First Edition and the Second Edition of </w:t>
      </w:r>
      <w:r>
        <w:rPr>
          <w:rFonts w:ascii="Times New Roman" w:cs="Times New Roman" w:eastAsia="Times New Roman" w:hAnsi="Times New Roman"/>
          <w:sz w:val="18"/>
          <w:szCs w:val="18"/>
          <w:i w:val="1"/>
          <w:iCs w:val="1"/>
          <w:color w:val="auto"/>
        </w:rPr>
        <w:t>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Application for Security Assessment of Outbound Data Transfer </w:t>
      </w:r>
      <w:r>
        <w:rPr>
          <w:rFonts w:ascii="Times New Roman" w:cs="Times New Roman" w:eastAsia="Times New Roman" w:hAnsi="Times New Roman"/>
          <w:sz w:val="18"/>
          <w:szCs w:val="18"/>
          <w:color w:val="auto"/>
        </w:rPr>
        <w:t>successively on August 31, 2022 and March 22, 2024, respectively, illustrating the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declaration of the cross-border data security assessment, such as methods, processes and materials, and optimizes and simplifies the relevant materials that data processors need to submit.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the CAC issued the Measures for the Standard Contract for the Outbound Transfer of Personal Information, or the Standard Contract Measures, which took effect on June 1, 2023. The Standard Contract Measures apply to the provision of personal information to overseas recipients through standard contract and set out detailed criteria relating to the formality and terms of such contracts. The Standard Contract Measures also require the personal information processor to file such contract with relevant authorities within 10 business days after the contract is effective. To regulate the application of the outboard transfer of personal information through standard contact, the CAC has promulgated the First Edition and the Second Edition of </w:t>
      </w:r>
      <w:r>
        <w:rPr>
          <w:rFonts w:ascii="Times New Roman" w:cs="Times New Roman" w:eastAsia="Times New Roman" w:hAnsi="Times New Roman"/>
          <w:sz w:val="18"/>
          <w:szCs w:val="18"/>
          <w:i w:val="1"/>
          <w:iCs w:val="1"/>
          <w:color w:val="auto"/>
        </w:rPr>
        <w:t xml:space="preserve">Guidelines for the Recordation of the Standard Contracts for the Outbound Transfer of Personal Information </w:t>
      </w:r>
      <w:r>
        <w:rPr>
          <w:rFonts w:ascii="Times New Roman" w:cs="Times New Roman" w:eastAsia="Times New Roman" w:hAnsi="Times New Roman"/>
          <w:sz w:val="18"/>
          <w:szCs w:val="18"/>
          <w:color w:val="auto"/>
        </w:rPr>
        <w:t>on May 30, 2023 and March 22, 2024.</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16, 2023, the TC260 released the draft national standards entitled </w:t>
      </w:r>
      <w:r>
        <w:rPr>
          <w:rFonts w:ascii="Times New Roman" w:cs="Times New Roman" w:eastAsia="Times New Roman" w:hAnsi="Times New Roman"/>
          <w:sz w:val="18"/>
          <w:szCs w:val="18"/>
          <w:i w:val="1"/>
          <w:iCs w:val="1"/>
          <w:color w:val="auto"/>
        </w:rPr>
        <w:t>Information Security Technology - Certification Requirements for Cross-border Transmission of Personal Information</w:t>
      </w:r>
      <w:r>
        <w:rPr>
          <w:rFonts w:ascii="Times New Roman" w:cs="Times New Roman" w:eastAsia="Times New Roman" w:hAnsi="Times New Roman"/>
          <w:sz w:val="18"/>
          <w:szCs w:val="18"/>
          <w:color w:val="auto"/>
        </w:rPr>
        <w:t>, for public comments, which sets out the basic principles and requirements for the protection of the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personal information subjects in the cross-border transmission of personal information, and outlines the standards for the third-party certification of companies engaged in the cross-border transfer.</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 August 3, 2023, the CAC has issued the </w:t>
      </w:r>
      <w:r>
        <w:rPr>
          <w:rFonts w:ascii="Times New Roman" w:cs="Times New Roman" w:eastAsia="Times New Roman" w:hAnsi="Times New Roman"/>
          <w:sz w:val="18"/>
          <w:szCs w:val="18"/>
          <w:i w:val="1"/>
          <w:iCs w:val="1"/>
          <w:color w:val="auto"/>
        </w:rPr>
        <w:t>Measures for the Administration of Personal Information Protection Compliance Audits (for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Comments)</w:t>
      </w:r>
      <w:r>
        <w:rPr>
          <w:rFonts w:ascii="Times New Roman" w:cs="Times New Roman" w:eastAsia="Times New Roman" w:hAnsi="Times New Roman"/>
          <w:sz w:val="18"/>
          <w:szCs w:val="18"/>
          <w:color w:val="auto"/>
        </w:rPr>
        <w:t>, which stipulates that companies that process personal information of subjects in China shall undergo regular compliance audits.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August 8, 2023, the CAC released </w:t>
      </w:r>
      <w:r>
        <w:rPr>
          <w:rFonts w:ascii="Times New Roman" w:cs="Times New Roman" w:eastAsia="Times New Roman" w:hAnsi="Times New Roman"/>
          <w:sz w:val="18"/>
          <w:szCs w:val="18"/>
          <w:i w:val="1"/>
          <w:iCs w:val="1"/>
          <w:color w:val="auto"/>
        </w:rPr>
        <w:t>the Provisions on Security Management of the Application of Face Recognition Technology (for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for public comments, which aimed at enhancing the oversight and responsible use of face recognition technology and stipulates,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that that face recognition technology can only be used when there is a specific purpose and sufficient necessity, and strict protection measures must be implemented.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28, 2023, the CAC released </w:t>
      </w:r>
      <w:r>
        <w:rPr>
          <w:rFonts w:ascii="Times New Roman" w:cs="Times New Roman" w:eastAsia="Times New Roman" w:hAnsi="Times New Roman"/>
          <w:sz w:val="18"/>
          <w:szCs w:val="18"/>
          <w:i w:val="1"/>
          <w:iCs w:val="1"/>
          <w:color w:val="auto"/>
        </w:rPr>
        <w:t>the Provisions on Regulating and Promoting Cross-border Data Flow</w:t>
      </w:r>
      <w:r>
        <w:rPr>
          <w:rFonts w:ascii="Times New Roman" w:cs="Times New Roman" w:eastAsia="Times New Roman" w:hAnsi="Times New Roman"/>
          <w:sz w:val="18"/>
          <w:szCs w:val="18"/>
          <w:color w:val="auto"/>
        </w:rPr>
        <w:t xml:space="preserve">, for public comments, which specifies the circumstances under which it is not required to apply for a security assessment for data to be provided abroad, to conclude a standard contract for personal information to be provided abroad, or to pass the certification for personal information protection. On March 22, 2024, the CAC has formally issued the </w:t>
      </w:r>
      <w:r>
        <w:rPr>
          <w:rFonts w:ascii="Times New Roman" w:cs="Times New Roman" w:eastAsia="Times New Roman" w:hAnsi="Times New Roman"/>
          <w:sz w:val="18"/>
          <w:szCs w:val="18"/>
          <w:i w:val="1"/>
          <w:iCs w:val="1"/>
          <w:color w:val="auto"/>
        </w:rPr>
        <w:t>Regulations on Promoting and Regulating the Cross-border Data Flow</w:t>
      </w:r>
      <w:r>
        <w:rPr>
          <w:rFonts w:ascii="Times New Roman" w:cs="Times New Roman" w:eastAsia="Times New Roman" w:hAnsi="Times New Roman"/>
          <w:sz w:val="18"/>
          <w:szCs w:val="18"/>
          <w:color w:val="auto"/>
        </w:rPr>
        <w:t>, which clarifies the obligations of data processors with cross-border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information, such as notification, obtaining individual consent, and conducting personal information protection impact assessments in accordance with laws and administrative regulations, and also sets out several exemptions, including cross-border data transfer (i) for concluding or performing a contract to which an individual is a party, (ii) for the cross-border HR management purpose according to the applicable internal labor rules and a collective contract entered into with the employees , (iii) to safeguard an individual’s life, health or property in the event of an emergency, and (iv) if the handler is not classified as a critical information infrastructure operator, involving less than 100,000 people’s non-sensitive personal information from January 1 of the current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6, 2021, the relevant PRC government authorities issued </w:t>
      </w:r>
      <w:r>
        <w:rPr>
          <w:rFonts w:ascii="Times New Roman" w:cs="Times New Roman" w:eastAsia="Times New Roman" w:hAnsi="Times New Roman"/>
          <w:sz w:val="18"/>
          <w:szCs w:val="18"/>
          <w:i w:val="1"/>
          <w:iCs w:val="1"/>
          <w:color w:val="auto"/>
        </w:rPr>
        <w:t>Opinions on Strictly Cracking Down Illegal Securities Activities in Accordance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These opinions emphasized the need to strengthen the administration over illegal securities activities and the supervision on overseas listings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China-based companies and proposed to take effective measures, such as promoting the construction of relevant regulatory systems to deal with the risks and incidents faced by China-based overseas-listed companies.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February 17, 2023, the CSRC promulgated the </w:t>
      </w:r>
      <w:r>
        <w:rPr>
          <w:rFonts w:ascii="Times New Roman" w:cs="Times New Roman" w:eastAsia="Times New Roman" w:hAnsi="Times New Roman"/>
          <w:sz w:val="18"/>
          <w:szCs w:val="18"/>
          <w:i w:val="1"/>
          <w:iCs w:val="1"/>
          <w:color w:val="auto"/>
        </w:rPr>
        <w:t>Trial Administrative Measures of the Overseas 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 March 31, 2023. 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 It provides, among others, that an overseas securities company that serves as a sponsor or lead underwriter for overseas securities offering and listing by domestic companies shall file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CSRC within ten (10) working days after signing its first engagement agreement for such business, and submit to the CSRC, no later than January 31 each year, an annual report on its business activities in the previous year associated with overseas securities offering and listing by domestic companies.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24, 2023, the CSRC released the Provisions on Strengthening the Confidentiality and Archives Administration Related to the Overseas Securities Offering and Listing by Domestic Enterprises, or the Confidentiality and Archives Administration Provisions, which took effect on March 31, 2023. The Confidentiality and Archives Administration Provisions require, among others, that PRC domestic enterprises that seek to offer and list securities in overseas markets, either directly or indirectly, complete approval and filing procedures to competent authorities, if such PRC domestic enterprises or its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shall be subject to corresponding procedures in accordance with relevant laws and regulations. Under the Confidentiality and Archives Administration Provisions, we may be required to complete relevant approval or filing procedures, or expend additional resources to comply with the Confidentiality and Archives Administration Provisions if we are recognized to fall within any of the foregoing circumstances. In addition, if the CSRC or other regulatory authorities later promulgate new rules or explanations requiring that we obtain their approvals or accomplish the required filing or other regulatory procedures for future capital-raising activities, we may be unable to obtain a waiver of such approval requirements, if and when procedures are established to obtain such a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Anti-Monopoly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Anti-Monopoly Law of the People’s Republic of China,</w:t>
      </w:r>
      <w:r>
        <w:rPr>
          <w:rFonts w:ascii="Times New Roman" w:cs="Times New Roman" w:eastAsia="Times New Roman" w:hAnsi="Times New Roman"/>
          <w:sz w:val="18"/>
          <w:szCs w:val="18"/>
          <w:color w:val="auto"/>
        </w:rPr>
        <w:t xml:space="preserve"> or the Anti-Monopoly Law, which was promulgated by the SCNPC on August 30, 2007, amended on June 24, 2022, and the 2022 revision became effective on August 1, 2022, the Anti-Monopoly Law applies to the monopolistic practices in domestic economic activities in China as well as the monopolistic practices outside China which have exclusion or restriction effects on domestic market competition. The monopolistic practices under the Anti-Monopoly Law include any monopoly agreement reached by any operators, abuse of market-dominating position by any operators and any concentration of operators which has an effect of eliminating or restricting competition. The agencies designated by the State Council are responsible for enforcement of the Anti-Monopoly Law. The anti-monopoly enforcement agencies of the State Council may, according to work requirements, delegate relevant anti-monopoly enforcement tasks to the corresponding agencies of the people’s governments of provinces, autonomous regions and centrally-administered municipalities pursuant to the provisions of Anti-Monopoly Law. Operators who violate the provisions of the Anti-Monopoly Law will be ordered by the enforcement agencies to stop the illegal act, be imposed a fine or be subject to other restrictive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order to prevent and curb the monopolistic conducts in the field of platform economy, the Anti-monopoly Commission of the State Council issued the </w:t>
      </w:r>
      <w:r>
        <w:rPr>
          <w:rFonts w:ascii="Times New Roman" w:cs="Times New Roman" w:eastAsia="Times New Roman" w:hAnsi="Times New Roman"/>
          <w:sz w:val="18"/>
          <w:szCs w:val="18"/>
          <w:i w:val="1"/>
          <w:iCs w:val="1"/>
          <w:color w:val="auto"/>
        </w:rPr>
        <w:t xml:space="preserve">Guidelines to Anti-Monopoly in the Field of Internet Platforms </w:t>
      </w:r>
      <w:r>
        <w:rPr>
          <w:rFonts w:ascii="Times New Roman" w:cs="Times New Roman" w:eastAsia="Times New Roman" w:hAnsi="Times New Roman"/>
          <w:sz w:val="18"/>
          <w:szCs w:val="18"/>
          <w:color w:val="auto"/>
        </w:rPr>
        <w:t>on February 7, 2021, which regulates the competition among Internet platforms.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abuse of market dominance in the platform economy, first define the relevant market, analyze whether the operator has a dominant position in the relevant market, and then analyze whether it constitutes abuse of market dominance according to individual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On March 10, 2023, the SAMR issued the </w:t>
      </w:r>
      <w:r>
        <w:rPr>
          <w:rFonts w:ascii="Times New Roman" w:cs="Times New Roman" w:eastAsia="Times New Roman" w:hAnsi="Times New Roman"/>
          <w:sz w:val="18"/>
          <w:szCs w:val="18"/>
          <w:i w:val="1"/>
          <w:iCs w:val="1"/>
          <w:color w:val="auto"/>
        </w:rPr>
        <w:t>Provisions on Prohibiting the Abuse of Administrative Power to Eliminate and Restrict Competition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Provisions on Anti-Monopoly Agreements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Provisions on Prohibition of Abuse of Dominant Market Position</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Regulations on the Review of</w:t>
      </w:r>
    </w:p>
    <w:p>
      <w:pPr>
        <w:spacing w:after="0" w:line="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Concentration of Undertakings</w:t>
      </w:r>
      <w:r>
        <w:rPr>
          <w:rFonts w:ascii="Times New Roman" w:cs="Times New Roman" w:eastAsia="Times New Roman" w:hAnsi="Times New Roman"/>
          <w:sz w:val="18"/>
          <w:szCs w:val="18"/>
          <w:color w:val="auto"/>
        </w:rPr>
        <w:t>, all of which came into effect on April 15, 2023. These Provisions are promulgated to implement the Anti-Monopoly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PRC, and further strengthen the anti-monopoly legal system.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Exchange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Currency Exchange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core regulations governing foreign currency exchange in China are the </w:t>
      </w:r>
      <w:r>
        <w:rPr>
          <w:rFonts w:ascii="Times New Roman" w:cs="Times New Roman" w:eastAsia="Times New Roman" w:hAnsi="Times New Roman"/>
          <w:sz w:val="18"/>
          <w:szCs w:val="18"/>
          <w:i w:val="1"/>
          <w:iCs w:val="1"/>
          <w:color w:val="auto"/>
        </w:rPr>
        <w:t>Foreign Exchange Administration Regulations</w:t>
      </w:r>
      <w:r>
        <w:rPr>
          <w:rFonts w:ascii="Times New Roman" w:cs="Times New Roman" w:eastAsia="Times New Roman" w:hAnsi="Times New Roman"/>
          <w:sz w:val="18"/>
          <w:szCs w:val="18"/>
          <w:color w:val="auto"/>
        </w:rPr>
        <w:t>, as amended in August 2008. Certain organizations in the PRC, including foreign invested enterprises, may purchase, sell and/or remit foreign currencies at certain banks authorized to conduct foreign exchange business upon providing valid commercial documents. However, approval of SAFE, is required for capital account transactions.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2014, the SAFE decided to further reform the foreign exchange administration system in order to satisfy and facilitate the business and capital operations of foreign invested enterprises, and issued the </w:t>
      </w:r>
      <w:r>
        <w:rPr>
          <w:rFonts w:ascii="Times New Roman" w:cs="Times New Roman" w:eastAsia="Times New Roman" w:hAnsi="Times New Roman"/>
          <w:sz w:val="18"/>
          <w:szCs w:val="18"/>
          <w:i w:val="1"/>
          <w:iCs w:val="1"/>
          <w:color w:val="auto"/>
        </w:rPr>
        <w:t>Circular on the Relevant Issues Concerning the Launch of Reforming Trial of the Administration Model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Settlement of Foreign Currency Capital of Foreign-Invested Enterprises in Certain Areas </w:t>
      </w:r>
      <w:r>
        <w:rPr>
          <w:rFonts w:ascii="Times New Roman" w:cs="Times New Roman" w:eastAsia="Times New Roman" w:hAnsi="Times New Roman"/>
          <w:sz w:val="18"/>
          <w:szCs w:val="18"/>
          <w:color w:val="auto"/>
        </w:rPr>
        <w:t>on July 4, 2014 or SAFE Circular 36. The SAFE Circular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suspends the application of the SAFE Circular 142 in certain areas and allows a foreign-invested enterprise registered in such areas to use the RMB capital converted from foreign currency registered capital for equity investments within the scope of business, which will be regarded as the reinvestment of foreign-invested enterprise. On March 30, 2015, the SAFE issued the </w:t>
      </w:r>
      <w:r>
        <w:rPr>
          <w:rFonts w:ascii="Times New Roman" w:cs="Times New Roman" w:eastAsia="Times New Roman" w:hAnsi="Times New Roman"/>
          <w:sz w:val="18"/>
          <w:szCs w:val="18"/>
          <w:i w:val="1"/>
          <w:iCs w:val="1"/>
          <w:color w:val="auto"/>
        </w:rPr>
        <w:t>Circular on the Reforming of the Management Method of the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 Capital of Foreign-Invested Enterprises</w:t>
      </w:r>
      <w:r>
        <w:rPr>
          <w:rFonts w:ascii="Times New Roman" w:cs="Times New Roman" w:eastAsia="Times New Roman" w:hAnsi="Times New Roman"/>
          <w:sz w:val="18"/>
          <w:szCs w:val="18"/>
          <w:color w:val="auto"/>
        </w:rPr>
        <w:t>, or the SAFE Circular 19, which took effect on June 1, 2015, and replaced the SAFE Circular 142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SAFE Circular 36. According to the SAFE Circular 19, the foreign exchange capital of foreign-invested enterprises shall be subject to the Discretional Foreign Exchange Settlement. The Discretional Foreign Exchange Settlement refers to the foreign exchange capital in the capital account of a foreign-invested enterprise for which the rights and interests of monetary contribution has been confirmed by the local foreign exchange bureau (or the book-entry registration of monetary contribution by the banks) can be settled at the banks based on the actual operational needs of the foreign-invested enterprise. The proportion of Discretional Foreign Exchange Settlement of the foreign exchange capital of a foreign-invested enterprise is temporarily determined to be 100%. The Renminbi converted from the foreign exchange capital will be kept in a designated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xml:space="preserve"> and if a foreign-invested enterprise needs to make further payment from such account, it still needs to provide supporting documents and go through the review process with the banks.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SAFE issued the </w:t>
      </w:r>
      <w:r>
        <w:rPr>
          <w:rFonts w:ascii="Times New Roman" w:cs="Times New Roman" w:eastAsia="Times New Roman" w:hAnsi="Times New Roman"/>
          <w:sz w:val="18"/>
          <w:szCs w:val="18"/>
          <w:i w:val="1"/>
          <w:iCs w:val="1"/>
          <w:color w:val="auto"/>
        </w:rPr>
        <w:t>Circular on Reforming and Regulating the Policies for the Administration of Foreign Exchange</w:t>
      </w:r>
      <w:r>
        <w:rPr>
          <w:rFonts w:ascii="Times New Roman" w:cs="Times New Roman" w:eastAsia="Times New Roman" w:hAnsi="Times New Roman"/>
          <w:sz w:val="18"/>
          <w:szCs w:val="18"/>
          <w:color w:val="auto"/>
        </w:rPr>
        <w:t xml:space="preserve"> Settlement </w:t>
      </w:r>
      <w:r>
        <w:rPr>
          <w:rFonts w:ascii="Times New Roman" w:cs="Times New Roman" w:eastAsia="Times New Roman" w:hAnsi="Times New Roman"/>
          <w:sz w:val="18"/>
          <w:szCs w:val="18"/>
          <w:i w:val="1"/>
          <w:iCs w:val="1"/>
          <w:color w:val="auto"/>
        </w:rPr>
        <w:t>under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or the SAFE Circular 16, in June 2016, which became effective simultaneously and was further revised in December, 2023. Pursuant to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16, enterprises registered in the PRC may also convert their foreign debts from foreign currency to Renminbi on a discretionary basis. The SAFE Circular 16 provides an integrated standard for conversion of foreign exchange under capital account items (including but not limited to foreign currency capital and foreign debts) on a discretionary basis which applies to all enterprises registered in the PRC. The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As the SAFE has not provided detailed guidelines with respect to its interpretation or implementations, it is uncertain how these rules will be interpreted and implemented.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2017, the SAFE promulgated the </w:t>
      </w:r>
      <w:r>
        <w:rPr>
          <w:rFonts w:ascii="Times New Roman" w:cs="Times New Roman" w:eastAsia="Times New Roman" w:hAnsi="Times New Roman"/>
          <w:sz w:val="18"/>
          <w:szCs w:val="18"/>
          <w:i w:val="1"/>
          <w:iCs w:val="1"/>
          <w:color w:val="auto"/>
        </w:rPr>
        <w:t>Circular on Further Promoting the Reform of Foreign Exchange Administration and Improving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of Authenticity and Compliance</w:t>
      </w:r>
      <w:r>
        <w:rPr>
          <w:rFonts w:ascii="Times New Roman" w:cs="Times New Roman" w:eastAsia="Times New Roman" w:hAnsi="Times New Roman"/>
          <w:sz w:val="18"/>
          <w:szCs w:val="18"/>
          <w:color w:val="auto"/>
        </w:rPr>
        <w:t>, or the SAFE Circular 3, which took effect on the same day. The SAFE Circular 3 sets out various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tighten genuineness and compliance verification of cross-border transactions and cross-border capital flow, which include without limitation requiring banks to verify board resolutions, tax filing form, and audited financial statements before wiring foreign invested enterprises’ foreign exchange distribution above US$50,000, and strengthening genuineness and compliance verification of foreign direct investments.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PRC subsidiaries’ distributions to their offshore parents are required to comply with the requirements as described above.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Exchange Registration of Offshore Investment by PRC Residents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PRC residents or entities who have contributed legitimate domestic or offshore interests or assets to the special purpose vehicles, or the “SPVs”, but have yet to obtain the SAFE registration before the implementation of the Circular 37 shall register their ownership interests or control in such SPVs with the SAFE or its local branch. An amendment to the registration is required if there is a material change in the registered SPV, such as any change of basic information including change of such PRC resident’s name and operation term, increases or decreases in investment amounts, transfers or exchanges of shares, or mergers or divisions. Failure to comply with the registration procedures set forth in Circular 37, or making misrepresentation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2015, the SAFE further promulgated the </w:t>
      </w:r>
      <w:r>
        <w:rPr>
          <w:rFonts w:ascii="Times New Roman" w:cs="Times New Roman" w:eastAsia="Times New Roman" w:hAnsi="Times New Roman"/>
          <w:sz w:val="18"/>
          <w:szCs w:val="18"/>
          <w:i w:val="1"/>
          <w:iCs w:val="1"/>
          <w:color w:val="auto"/>
        </w:rPr>
        <w:t>Circular of the State Administration of Foreign Exchange on Further Simplifying and Improving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for the Foreign Exchange Administration of Direct Investment</w:t>
      </w:r>
      <w:r>
        <w:rPr>
          <w:rFonts w:ascii="Times New Roman" w:cs="Times New Roman" w:eastAsia="Times New Roman" w:hAnsi="Times New Roman"/>
          <w:sz w:val="18"/>
          <w:szCs w:val="18"/>
          <w:color w:val="auto"/>
        </w:rPr>
        <w:t>, or the SAFE Circular 13, effective June 2015. This SAFE Circular 13 has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SAFE Circular 37 by requiring PRC residents or entities to register with qualified banks rather than the SAFE or its local branch in connection with their establishment or control of an offshore entity established for the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of overseas investment or financing. The SAFE Circular 37 is applicable to our shareholders who are PRC residents and may be applicable to any offshore acquisitions that we make in the future. All of our shareholders who, to our knowledge, are subject to the above SAFE regulations have completed the necessary registrations with the local SAFE branch or qualified banks as required by the SAFE Circular 37.</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had completed the necessary registrations with the local SAFE branch or qualified banks as required by the SAFE Circular 37 in relation to their investment in our company. See “Item 3. Key Information— Certain Risks Related to Our Chinese Operations and Operating Structure – We may be subject to penalties, including restrictions on our ability to inject capital into our PRC subsidiaries, if our PRC resident shareholders or beneficial owners fail to comply with relevant PRC foreign exchange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the Individual Foreign Exchange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25, 2006, the PBOC issued the </w:t>
      </w:r>
      <w:r>
        <w:rPr>
          <w:rFonts w:ascii="Times New Roman" w:cs="Times New Roman" w:eastAsia="Times New Roman" w:hAnsi="Times New Roman"/>
          <w:sz w:val="18"/>
          <w:szCs w:val="18"/>
          <w:i w:val="1"/>
          <w:iCs w:val="1"/>
          <w:color w:val="auto"/>
        </w:rPr>
        <w:t>Administrative Measures for Individual Foreign Exchange</w:t>
      </w:r>
      <w:r>
        <w:rPr>
          <w:rFonts w:ascii="Times New Roman" w:cs="Times New Roman" w:eastAsia="Times New Roman" w:hAnsi="Times New Roman"/>
          <w:sz w:val="18"/>
          <w:szCs w:val="18"/>
          <w:color w:val="auto"/>
        </w:rPr>
        <w:t xml:space="preserve">, or the PBOC Order 3, which took effect on February 1, 2007. In addition, on January 5, 2007, the SAFE promulgated the </w:t>
      </w:r>
      <w:r>
        <w:rPr>
          <w:rFonts w:ascii="Times New Roman" w:cs="Times New Roman" w:eastAsia="Times New Roman" w:hAnsi="Times New Roman"/>
          <w:sz w:val="18"/>
          <w:szCs w:val="18"/>
          <w:i w:val="1"/>
          <w:iCs w:val="1"/>
          <w:color w:val="auto"/>
        </w:rPr>
        <w:t>Circular of the State Administration of Foreign Exchange on Issuing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Detailed </w:t>
      </w:r>
      <w:r>
        <w:rPr>
          <w:rFonts w:ascii="Times New Roman" w:cs="Times New Roman" w:eastAsia="Times New Roman" w:hAnsi="Times New Roman"/>
          <w:sz w:val="18"/>
          <w:szCs w:val="18"/>
          <w:color w:val="auto"/>
        </w:rPr>
        <w:t>Rules</w:t>
      </w:r>
      <w:r>
        <w:rPr>
          <w:rFonts w:ascii="Times New Roman" w:cs="Times New Roman" w:eastAsia="Times New Roman" w:hAnsi="Times New Roman"/>
          <w:sz w:val="18"/>
          <w:szCs w:val="18"/>
          <w:i w:val="1"/>
          <w:iCs w:val="1"/>
          <w:color w:val="auto"/>
        </w:rPr>
        <w:t xml:space="preserve"> for the Implementation of the Measures for the Administration of Individual Foreign Exchange</w:t>
      </w:r>
      <w:r>
        <w:rPr>
          <w:rFonts w:ascii="Times New Roman" w:cs="Times New Roman" w:eastAsia="Times New Roman" w:hAnsi="Times New Roman"/>
          <w:sz w:val="18"/>
          <w:szCs w:val="18"/>
          <w:color w:val="auto"/>
        </w:rPr>
        <w:t>, or the SAFE 2007 Circular 1, which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same day with the PBOC Order 3. Pursuant to the provision of the PBOC Order 3 and the 2007 Circular 1, individual foreign exchange businesses in the PRC can be classified into domestic and overseas individual foreign exchange businesses as per transaction, and current accounts and capital accounts as per transaction property. Annual quota management shall be implemented for individual settlement of exchange and individual foreign exchange purchase within the territory of the PRC. The annual quota for domestic individual’s current accounts equivalent to US$50,000 (including US$50,000). In case the total amount of the foreign exchange remitted abroad from his/her foreign exchange savings account in a same day does not exceed the amount equivalent to US$50,000 (including US$50,000), he/she shall deal with it at a bank by presenting his/her valid identity certificate; if the total amount is more than the aforesaid amount, he/she shall handle it by presenting the authentic voucher under the current account indicating the trading volume. As for capital account, a domestic individual may purchase foreign exchange or remit abroad his/her self-owned foreign exchange upon the approval of the local foreign exchange department and shall conduct the corresponding formalities for the registration of foreign exchange for investing abroad. In March 2016, Beijing Rongke(formerly known as Ningxia Rongke) received an inquiring notice from the SAFE that required it to review and report the status of our customers’ account opening and fund transfers on our platform. Beijing Rongke made a written submission to the SAFE, which clarified that, among others, (i) at that time, Beijing Rongke was a related party to Tiger Holdings Group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Limited (already de-registered), both of which did not participate in the process of the foreign currency purchase by our customers, and (ii) Beijing Rongke was a technology company and Tiger Holdings Group Limited was a registered financial service provider in New Zealand. See Item 3.D “Risk Factor-Risks Related to Our Business and Industry-Violations of the relevant SAFE rules and regulations may give rise to regulatory inquiries, investigations or other actions, which may disrupt our business and could materially and adversely impact our results of operations and financial condition.” We believe that we took necessary measures in response to such inquiry and as of the date of this report, we have not received any further similar inquiry or rectification requirement from the SAFE. However, we cannot assure you that the SAFE will take the same view as us and do not expect a formal notice from the SAFE to inform us whether Beijing Rongke had satisfied the requirements in the aforementioned notice.</w:t>
      </w:r>
    </w:p>
    <w:p>
      <w:pPr>
        <w:spacing w:after="0" w:line="185"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Copyright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Copyright Law of the PRC</w:t>
      </w:r>
      <w:r>
        <w:rPr>
          <w:rFonts w:ascii="Times New Roman" w:cs="Times New Roman" w:eastAsia="Times New Roman" w:hAnsi="Times New Roman"/>
          <w:sz w:val="18"/>
          <w:szCs w:val="18"/>
          <w:color w:val="auto"/>
        </w:rPr>
        <w:t>, promulgated in 1990 and amended in 2001 and 2010, or the Copyright Law, and its related implementing regulations, promulgated in 2002 and amended in 2013, are the principal laws and regulations governing the copyright related matters. On November 11, 2020, the SCNPC issued amendment to the Copyright Law, which became effective on June 1, 2021. The amended Copyright Law expands the scope of work protected by the copyright, the content of copyright, and the remedies for infringement of the copyright. Registration of copyright is voluntary, and it is administrated by the China Copyright Protection Center.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Patent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Patent Law of the PRC</w:t>
      </w:r>
      <w:r>
        <w:rPr>
          <w:rFonts w:ascii="Times New Roman" w:cs="Times New Roman" w:eastAsia="Times New Roman" w:hAnsi="Times New Roman"/>
          <w:sz w:val="18"/>
          <w:szCs w:val="18"/>
          <w:color w:val="auto"/>
        </w:rPr>
        <w:t xml:space="preserve">, or the Patent Law, as amended in 2008, after the grant of the patent right for an invention or utility model, except where otherwise provided for in the Patent Law, no entity or individual may, without the authorization of the patent owner, exploit the patent, that is, make, use, offer to sell, sell or import the patented product, or use the patented process, or use, offer to sell, sell or import any product which is a direct result of the use of the patented process, for production or business purposes. The </w:t>
      </w:r>
      <w:r>
        <w:rPr>
          <w:rFonts w:ascii="Times New Roman" w:cs="Times New Roman" w:eastAsia="Times New Roman" w:hAnsi="Times New Roman"/>
          <w:sz w:val="18"/>
          <w:szCs w:val="18"/>
          <w:i w:val="1"/>
          <w:iCs w:val="1"/>
          <w:color w:val="auto"/>
        </w:rPr>
        <w:t>Detailed Rules for the Implementation of the Patent Law of the PRC</w:t>
      </w:r>
      <w:r>
        <w:rPr>
          <w:rFonts w:ascii="Times New Roman" w:cs="Times New Roman" w:eastAsia="Times New Roman" w:hAnsi="Times New Roman"/>
          <w:sz w:val="18"/>
          <w:szCs w:val="18"/>
          <w:color w:val="auto"/>
        </w:rPr>
        <w:t>, as amend in 2023, promulgated by the State Council provide for patentable inventions, utility models and designs, which must meet three conditions: novelty, inventiveness and practical applicability. After a patent right is granted for a design, no entity or individual shall, without the permission of the patent owner, exploit the patent, that is, for production or business purposes, manufacture, offer to sell, sell, or import any product containing the patented design. Once the infringement of patent is confirmed, the infringer shall, in accordance with the regulations, undertake to cease the infringement, take remedial action, and pay damages, etc. On October 17, 2020, the SCNPC issued amendment to the Patent Law, which became effective on June 1, 2021. The amended Patent Law expands the definition of appearance design, enhances the protection on appearance design, increases the amount of compensation for infringement, and extends the litigation period for infringement of patent.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Trademark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Trademark Law of the PRC</w:t>
      </w:r>
      <w:r>
        <w:rPr>
          <w:rFonts w:ascii="Times New Roman" w:cs="Times New Roman" w:eastAsia="Times New Roman" w:hAnsi="Times New Roman"/>
          <w:sz w:val="18"/>
          <w:szCs w:val="18"/>
          <w:color w:val="auto"/>
        </w:rPr>
        <w:t>, as amended in 2013 and 2019,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 See Item 3.D “Risk Factors-Risks Related to Our Business and Industry-We may not be able to protect our intellectual property rights.”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Domain Name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Measures for the Administration of Internet Domain Names</w:t>
      </w:r>
      <w:r>
        <w:rPr>
          <w:rFonts w:ascii="Times New Roman" w:cs="Times New Roman" w:eastAsia="Times New Roman" w:hAnsi="Times New Roman"/>
          <w:sz w:val="18"/>
          <w:szCs w:val="18"/>
          <w:color w:val="auto"/>
        </w:rPr>
        <w:t xml:space="preserve"> promulgated on August 24, 2017 and effective on November 1, 2017, the “domain name” shall refer to the character mark of hierarchical structure, which identifies and locates a computer on the Internet and corresponds to the Internet protocol address of that computer.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principle of “first come, first serve” is followed for the domain name registration service. After completing the domain name registration, the applicant becomes the holder of the domain name registered by the same. Any organization or individual may file an application for settlement with the domain names dispute resolution institution or file a lawsuit in the PRC courts in accordance with the PRC law, if such organization or individual consider the domain names registered or used by others infringe upon the legal rights and interests of the former.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Dividend Distribution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principal regulations governing the distribution of dividends paid by wholly foreign-owned enterprises include the </w:t>
      </w:r>
      <w:r>
        <w:rPr>
          <w:rFonts w:ascii="Times New Roman" w:cs="Times New Roman" w:eastAsia="Times New Roman" w:hAnsi="Times New Roman"/>
          <w:sz w:val="18"/>
          <w:szCs w:val="18"/>
          <w:i w:val="1"/>
          <w:iCs w:val="1"/>
          <w:color w:val="auto"/>
        </w:rPr>
        <w:t>Wholly Foreign-Owned 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issued in 1986 and most recently amended in 2016, and the</w:t>
      </w:r>
      <w:r>
        <w:rPr>
          <w:rFonts w:ascii="Times New Roman" w:cs="Times New Roman" w:eastAsia="Times New Roman" w:hAnsi="Times New Roman"/>
          <w:sz w:val="18"/>
          <w:szCs w:val="18"/>
          <w:i w:val="1"/>
          <w:iCs w:val="1"/>
          <w:color w:val="auto"/>
        </w:rPr>
        <w:t xml:space="preserve"> Detailed Rules for the Implementation of the Law of the People’s Republic of China on Wholly Foreign-owned Enterprises </w:t>
      </w:r>
      <w:r>
        <w:rPr>
          <w:rFonts w:ascii="Times New Roman" w:cs="Times New Roman" w:eastAsia="Times New Roman" w:hAnsi="Times New Roman"/>
          <w:sz w:val="18"/>
          <w:szCs w:val="18"/>
          <w:color w:val="auto"/>
        </w:rPr>
        <w:t>issued in 1990 and most recently amended in 2014 , both of which have been superseded from January 1, 2020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 and FIL Implementation Rules, and the Company Law of the People’s Republic of China issued in 1999 and most recently amended in 2023. Under these regulations, wholly foreign-owned enterprises in China may pay dividends only out of their accumulated profits, if any, as determined in accordance with PRC accounting standards and regulations, provided that, a wholly foreign-owned enterprise in China shall firstly set aside at least 10% of its after-tax profit based on PRC accounting standards each year to its general reserves until its cumulative total reserve funds reaches 50% of its registered capital. These reserve funds, however, may not be distributed as cash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Summary Financial Information Regarding the Company, Its Subsidiaries, and Consolidated VIEs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Among the Company, Its Subsidiaries, and Consolidated VIEs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main revenues were mostly generated from our wholly owned subsidiaries in New Zealand, Singapore and the United States for the years ended December 31, 2021, 2022 and 2023. Most of the consolidated VIEs and their subsidiaries operate business in the PRC and their main functions are to support our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in order to support their business expansion. These Licensed Entities pay the consolidated VIEs and their subsidiaries periodically for the services rendered through inter-company transactions, pursuant to the terms of the contractual arrangements between them. The Group currently does not have any cash management policies specifically governing these transfers between VIE and subsidiaries. Instead, we are guided by the contractual arrangements to which we are a party and, to the extent permissible under those contractual arrangements, the discretion of our management. To date, we have not experienced difficulty in transferring cash to or from the holding company, the subsidiaries, the VIEs, and investors. However, there is no assurance that the PRC government will not intervene or impose restrictions on our ability to transfer cash.</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illustrate cash flows among the holding company, its subsidiaries, and consolidated VIEs by type, please refer to the following tables (all in US$ thousands):</w:t>
      </w:r>
    </w:p>
    <w:p>
      <w:pPr>
        <w:spacing w:after="0" w:line="16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Subsidiaries: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6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of Loans to Subsidiaries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(6,721 )</w:t>
            </w: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Injections to Subsidiaries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VIEs: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6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of Loans to VIEs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Subsidiaries and VIEs: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6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of Loans to VIEs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(452 )</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(4,185 )</w:t>
            </w: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Fees Paid to VIEs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40,371</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Our subsidiaries and the consolidated VIEs did not declare or distribute any dividends or distributions for the years ended December 31, 2021, 2022 and 2023. Additionally, the holding company did not declare nor distribute any dividends or distribution for the years ended December 31, 2021, 2022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Financial Information relating to the VIEs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6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60" w:type="dxa"/>
            <w:vAlign w:val="bottom"/>
            <w:vMerge w:val="restart"/>
          </w:tcPr>
          <w:p>
            <w:pPr>
              <w:spacing w:after="0"/>
              <w:rPr>
                <w:sz w:val="13"/>
                <w:szCs w:val="13"/>
                <w:color w:val="auto"/>
              </w:rPr>
            </w:pPr>
          </w:p>
        </w:tc>
        <w:tc>
          <w:tcPr>
            <w:tcW w:w="132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60" w:type="dxa"/>
            <w:vAlign w:val="bottom"/>
            <w:vMerge w:val="restart"/>
          </w:tcPr>
          <w:p>
            <w:pPr>
              <w:spacing w:after="0"/>
              <w:rPr>
                <w:sz w:val="13"/>
                <w:szCs w:val="13"/>
                <w:color w:val="auto"/>
              </w:rPr>
            </w:pPr>
          </w:p>
        </w:tc>
        <w:tc>
          <w:tcPr>
            <w:tcW w:w="14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3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144,956,799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53,313,297</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3,688,745,087</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(197,043,081 )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3,689,972,102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502,099,724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11,399,140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44,595,861</w:t>
            </w:r>
          </w:p>
        </w:tc>
        <w:tc>
          <w:tcPr>
            <w:tcW w:w="2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(502,019,724 )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56,075,001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647,056,523</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64,712,437</w:t>
            </w: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3,733,340,948</w:t>
            </w: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(699,062,805 )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3,746,047,103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1,192,454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26,976,594</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3,256,754,764</w:t>
            </w:r>
          </w:p>
        </w:tc>
        <w:tc>
          <w:tcPr>
            <w:tcW w:w="2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(199,361,543 )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3,085,562,269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156,887,691</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74,638</w:t>
            </w: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8,100,327</w:t>
            </w: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165,062,656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158,080,145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27,051,232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3,264,855,091</w:t>
            </w:r>
          </w:p>
        </w:tc>
        <w:tc>
          <w:tcPr>
            <w:tcW w:w="2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(199,361,543 )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3,250,624,925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2,921,100</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24,775,979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266,800,356</w:t>
            </w:r>
          </w:p>
        </w:tc>
        <w:tc>
          <w:tcPr>
            <w:tcW w:w="2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(21,989,840 )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272,507,595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32,563,525</w:t>
            </w: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(4,204,124 )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38,343,738</w:t>
            </w: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(33,695,712 )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33,007,427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(247,153 )</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(205,895 )</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(6,113,306 )</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(6,566,354 )</w:t>
            </w:r>
          </w:p>
        </w:tc>
        <w:tc>
          <w:tcPr>
            <w:tcW w:w="0" w:type="dxa"/>
            <w:vAlign w:val="bottom"/>
          </w:tcPr>
          <w:p>
            <w:pPr>
              <w:spacing w:after="0"/>
              <w:rPr>
                <w:sz w:val="1"/>
                <w:szCs w:val="1"/>
                <w:color w:val="auto"/>
              </w:rPr>
            </w:pPr>
          </w:p>
        </w:tc>
      </w:tr>
      <w:tr>
        <w:trPr>
          <w:trHeight w:val="20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 investing activities</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(5,127,961 )</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(6,169,149 )</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(3,092,501 )</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6,639,051</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(7,750,560 )</w:t>
            </w:r>
          </w:p>
        </w:tc>
        <w:tc>
          <w:tcPr>
            <w:tcW w:w="0" w:type="dxa"/>
            <w:vAlign w:val="bottom"/>
          </w:tcPr>
          <w:p>
            <w:pPr>
              <w:spacing w:after="0"/>
              <w:rPr>
                <w:sz w:val="1"/>
                <w:szCs w:val="1"/>
                <w:color w:val="auto"/>
              </w:rPr>
            </w:pPr>
          </w:p>
        </w:tc>
      </w:tr>
      <w:tr>
        <w:trPr>
          <w:trHeight w:val="21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 financing activities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140,385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402,292</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7,916,793</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(6,639,051 )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our audited consolidated financial statements.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156,457,176</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58,095,337</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3,728,088,018</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(204,061,664 )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3,738,578,867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447,647,877</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12,145,470</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46,556,051</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(447,567,877 )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604,105,053</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70,240,807</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3,774,644,069</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(651,629,541 )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3,797,360,388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2,249,610</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29,848,034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3,353,074,361</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(204,615,982 )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3,180,556,023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154,725,906</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640,527</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9,809,298</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165,175,731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156,975,516</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30,488,561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3,362,883,659</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(204,615,982 )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3,345,731,754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1,706,054</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44,382,701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220,243,411</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(40,966,619 )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225,365,547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(2,186,441 )</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(8,220,848 )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9,178,824</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(1,028,415 )</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(2,256,880 )</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 operating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613,623</w:t>
            </w: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(1,552,547 )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258,999,523</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258,060,599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(14,271,671 )</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(416,486 )</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(2,022,732 )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13,098,888</w:t>
            </w:r>
          </w:p>
        </w:tc>
        <w:tc>
          <w:tcPr>
            <w:tcW w:w="2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(3,612,001 )</w:t>
            </w: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366,540</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3,760,937</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13,701,872</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(13,098,888 )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4,730,461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329"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ectPr>
          <w:pgSz w:w="11900" w:h="16838" w:orient="portrait"/>
          <w:cols w:equalWidth="0" w:num="1">
            <w:col w:w="11240"/>
          </w:cols>
          <w:pgMar w:left="320" w:top="769"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our audited consolidated financial statements.</w:t>
      </w:r>
    </w:p>
    <w:p>
      <w:pPr>
        <w:spacing w:after="0" w:line="2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year ended December 31,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170,220,287</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51,873,657</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3,234,726,520</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(185,548,937 )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3,271,271,527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428,634,807</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16,083,322</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34,013,807</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(428,584,807 )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598,855,094</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67,956,979</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3,268,740,327</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(614,133,744 )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3,321,418,656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2,005,459</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25,422,094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2,878,428,946</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(185,916,356 )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2,719,940,143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150,223,767</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4,622,020</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154,852,645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152,229,226</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25,428,952</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2,883,050,966</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(185,916,356 )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2,874,792,788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1,290,388</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65,295,325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260,518,378</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(62,615,929 )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264,488,162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14,690,701</w:t>
            </w: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(700,720 )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16,389,903</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(15,689,183 )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14,690,701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by operating activities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(2,956,553 )</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18,431,299</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397,729,210</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413,203,956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(307,315,533 )</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(4,048,620 )</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(8,395,110 )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330,678,088</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10,918,825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330,881,355</w:t>
            </w: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(5,091,778 )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335,769,866</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(330,678,088 )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330,881,355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our audited consolidated financial statements.</w:t>
      </w:r>
    </w:p>
    <w:p>
      <w:pPr>
        <w:spacing w:after="0" w:line="221"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[Reserved]</w:t>
      </w:r>
    </w:p>
    <w:p>
      <w:pPr>
        <w:spacing w:after="0" w:line="225" w:lineRule="exact"/>
        <w:rPr>
          <w:rFonts w:ascii="Times New Roman" w:cs="Times New Roman" w:eastAsia="Times New Roman" w:hAnsi="Times New Roman"/>
          <w:sz w:val="18"/>
          <w:szCs w:val="18"/>
          <w:b w:val="1"/>
          <w:bCs w:val="1"/>
          <w:i w:val="1"/>
          <w:iCs w:val="1"/>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risks should be considered in conjunction with the information set forth above under the headings “Forward-Looking Statements” and “Item</w:t>
      </w:r>
    </w:p>
    <w:p>
      <w:pPr>
        <w:spacing w:after="0" w:line="27" w:lineRule="exact"/>
        <w:rPr>
          <w:sz w:val="20"/>
          <w:szCs w:val="20"/>
          <w:color w:val="auto"/>
        </w:rPr>
      </w:pPr>
    </w:p>
    <w:p>
      <w:pPr>
        <w:jc w:val="both"/>
        <w:ind w:firstLine="8"/>
        <w:spacing w:after="0" w:line="252" w:lineRule="auto"/>
        <w:tabs>
          <w:tab w:leader="none" w:pos="1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and below under “Item 5. Operating and Financial Review and Prospects.” These risks may affect the Company’s operating results and, individually or in the aggregate, could cause its actual results to differ materially from past and anticipated future results. The following discussion of risks may contain forward-looking statements which are intended to be covered by the Safe Harbor Statement. Except as may be required by law, the Company undertakes no obligation to publicly update forward-looking statements, whether as a result of new information, future events, or otherwise. The Company invites you to consult any further related disclosures made by the Company from time to time in materials filed with or furnished to the Securities and Exchange Commission, or the SEC.</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above under “Item 3. Key Information – Certain</w:t>
      </w:r>
    </w:p>
    <w:p>
      <w:pPr>
        <w:sectPr>
          <w:pgSz w:w="11900" w:h="16838" w:orient="portrait"/>
          <w:cols w:equalWidth="0" w:num="1">
            <w:col w:w="11240"/>
          </w:cols>
          <w:pgMar w:left="320" w:top="769"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Risks Related to Our Chinese Operations and Operating Structure” and are summarized immediately below. These risks are incorporated by reference in this “Item 3. Key Information – 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Certain Risks Related to Our Chinese Operations and Operating Structure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10140" w:type="dxa"/>
            <w:vAlign w:val="bottom"/>
            <w:tcBorders>
              <w:top w:val="single" w:sz="8" w:color="auto"/>
              <w:left w:val="single" w:sz="8" w:color="auto"/>
              <w:bottom w:val="single" w:sz="8" w:color="auto"/>
              <w:right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4"/>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Shareholders may face difficulties in protecting your interests, and your ability to protect your rights through the U.S. courts may be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limited, because we are registered under Cayman Islands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the agreements that establish the structure for operating some of our activities in China do not comply with PRC regulations, if we fail</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obtain all required permissions and approvals required by Chinese regulatory authorities, or if these regulations change in the future,</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could be subject to severe penalties or be forced to relinquish our interests in those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Uncertainties exist with respect to the interpretation and implementation of the Foreign Investment Law of the PRC and how it may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impact the viability of our current corporate structure, corporate governance and business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rely on contractual arrangements with the VIEs and their respective shareholders for a large portion of our business operations,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may not be as effective as equity ownership in providing operational control, and which we may not be able to enforce in a court</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and adverse effect on our business.</w:t>
            </w:r>
          </w:p>
        </w:tc>
        <w:tc>
          <w:tcPr>
            <w:tcW w:w="1100" w:type="dxa"/>
            <w:vAlign w:val="bottom"/>
            <w:tcBorders>
              <w:right w:val="single" w:sz="8" w:color="auto"/>
            </w:tcBorders>
          </w:tcPr>
          <w:p>
            <w:pPr>
              <w:spacing w:after="0"/>
              <w:rPr>
                <w:sz w:val="20"/>
                <w:szCs w:val="20"/>
                <w:color w:val="auto"/>
              </w:rPr>
            </w:pPr>
          </w:p>
        </w:tc>
      </w:tr>
      <w:tr>
        <w:trPr>
          <w:trHeight w:val="230"/>
        </w:trPr>
        <w:tc>
          <w:tcPr>
            <w:tcW w:w="1014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446"/>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which may materially and adversely affect our business.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Contractual arrangements in relation to the VIEs may be subject to scrutiny by the PRC tax authorities and they may determine that we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our PRC VIEs owe additional taxes, which could negatively affect our financial condition and the value of your investment.</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lose the ability to use and enjoy assets held by the VIEs that are material to the operation of certain portions of our business if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VIEs go bankrupt or become subject to a dissolution or liquidation proceeding.</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PRC government may intervene or impose restrictions on our ability to transfer cash to or from the holding company, the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subsidiaries, the VIEs and investors.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we fail to protect customer data and privacy, our reputation, financial condition and results of operations will be materially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1"/>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adversely affected.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53"/>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subject to regulatory compliance costs and enforcement activity relating to Chinese privacy and data security laws.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648"/>
        </w:trPr>
        <w:tc>
          <w:tcPr>
            <w:tcW w:w="10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spacing w:after="0"/>
              <w:rPr>
                <w:sz w:val="24"/>
                <w:szCs w:val="24"/>
                <w:color w:val="auto"/>
              </w:rPr>
            </w:pPr>
          </w:p>
        </w:tc>
      </w:tr>
      <w:tr>
        <w:trPr>
          <w:trHeight w:val="763"/>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07"/>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00" w:type="dxa"/>
            <w:vAlign w:val="bottom"/>
          </w:tcPr>
          <w:p>
            <w:pPr>
              <w:spacing w:after="0"/>
              <w:rPr>
                <w:sz w:val="17"/>
                <w:szCs w:val="17"/>
                <w:color w:val="auto"/>
              </w:rPr>
            </w:pPr>
          </w:p>
        </w:tc>
      </w:tr>
      <w:tr>
        <w:trPr>
          <w:trHeight w:val="449"/>
        </w:trPr>
        <w:tc>
          <w:tcPr>
            <w:tcW w:w="1280" w:type="dxa"/>
            <w:vAlign w:val="bottom"/>
            <w:tcBorders>
              <w:top w:val="single" w:sz="8" w:color="0000FF"/>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24"/>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be adversely affected by the complexity, uncertainties and changes in the PRC regulations of Internet-related businesses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companies, and any lack of requisite licenses, permits or approvals applicable to our business may have a material adverse effect on our</w:t>
            </w:r>
          </w:p>
        </w:tc>
        <w:tc>
          <w:tcPr>
            <w:tcW w:w="1100" w:type="dxa"/>
            <w:vAlign w:val="bottom"/>
            <w:tcBorders>
              <w:right w:val="single" w:sz="8" w:color="auto"/>
            </w:tcBorders>
          </w:tcPr>
          <w:p>
            <w:pPr>
              <w:spacing w:after="0"/>
              <w:rPr>
                <w:sz w:val="18"/>
                <w:szCs w:val="18"/>
                <w:color w:val="auto"/>
              </w:rPr>
            </w:pPr>
          </w:p>
        </w:tc>
      </w:tr>
      <w:tr>
        <w:trPr>
          <w:trHeight w:val="245"/>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business and results of operations.</w:t>
            </w:r>
          </w:p>
        </w:tc>
        <w:tc>
          <w:tcPr>
            <w:tcW w:w="1100" w:type="dxa"/>
            <w:vAlign w:val="bottom"/>
            <w:tcBorders>
              <w:bottom w:val="single" w:sz="8" w:color="auto"/>
              <w:right w:val="single" w:sz="8" w:color="auto"/>
            </w:tcBorders>
          </w:tcPr>
          <w:p>
            <w:pPr>
              <w:spacing w:after="0"/>
              <w:rPr>
                <w:sz w:val="21"/>
                <w:szCs w:val="21"/>
                <w:color w:val="auto"/>
              </w:rPr>
            </w:pPr>
          </w:p>
        </w:tc>
      </w:tr>
      <w:tr>
        <w:trPr>
          <w:trHeight w:val="424"/>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audit report included in this annual report has been prepared by our independent registered public accounting firm, whose work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Public Company Accounting Oversight Board was previously unable to inspect and, as such, you have previously been deprived of the</w:t>
            </w:r>
          </w:p>
        </w:tc>
        <w:tc>
          <w:tcPr>
            <w:tcW w:w="1100" w:type="dxa"/>
            <w:vAlign w:val="bottom"/>
            <w:tcBorders>
              <w:right w:val="single" w:sz="8" w:color="auto"/>
            </w:tcBorders>
          </w:tcPr>
          <w:p>
            <w:pPr>
              <w:spacing w:after="0"/>
              <w:rPr>
                <w:sz w:val="18"/>
                <w:szCs w:val="18"/>
                <w:color w:val="auto"/>
              </w:rPr>
            </w:pP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benefits of such inspection and may be deprived of such benefits in the future if the work of our independent registered public</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accounting firm is unable to be inspected again.</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be subject to consequences pursuant to the Holding Foreign Companies Accountable Act and related regulations, including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potential for our ADSs to be prohibited from trading on U.S. securities exchanges, including The Nasdaq Stock Market, and in the U.S.</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over-the-counter market, which will limit the liquidity of our ADSs and our access to U.S. capital markets.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are subject to numerous regulations in the PRC, and compliance with these regulations may result in costs, expenses, regulatory</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enforcement action, and reputational harm that may have a material adverse effect on our business and results of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53"/>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legal system of the PRC is developing and rapidly evolving, and there are uncertainties that may affect the protection afforded to us.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PRC government’s significant oversight over our business operation could result in a material adverse change in our operations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value of our ADSs, and it has recently indicated an intent to exert more oversight and control over overseas securities offerings and</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capital markets activities and foreign investment in China-based 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using</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proceeds we received from our initial public offering and the Concurrent Private Placement to make loans or additional capital</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contributions to our PRC subsidiaries.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including restrictions on our ability to inject capital into our PRC subsidiaries, if our PRC resident</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or beneficial owners fail to comply with relevant PRC foreign exchange regulations.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You may be subject to PRC withholding tax on dividends from us and PRC income tax on any gain realized on the transfer of our shares</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or ADSs if we are deemed a PRC resident enterprise.</w:t>
            </w:r>
          </w:p>
        </w:tc>
        <w:tc>
          <w:tcPr>
            <w:tcW w:w="1100" w:type="dxa"/>
            <w:vAlign w:val="bottom"/>
            <w:tcBorders>
              <w:bottom w:val="single" w:sz="8" w:color="auto"/>
              <w:right w:val="single" w:sz="8" w:color="auto"/>
            </w:tcBorders>
          </w:tcPr>
          <w:p>
            <w:pPr>
              <w:spacing w:after="0"/>
              <w:rPr>
                <w:sz w:val="20"/>
                <w:szCs w:val="20"/>
                <w:color w:val="auto"/>
              </w:rPr>
            </w:pPr>
          </w:p>
        </w:tc>
      </w:tr>
      <w:tr>
        <w:trPr>
          <w:trHeight w:val="453"/>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not be able to obtain certain tax benefits for dividends paid by our PRC subsidiaries to us through our Hong Kong subsidiaries.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PRC regulations may restrict our ability to convert Renminbi into foreign currency and remit such currency out of the PRC to pay capital</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subject to additional risks as a result of doing business in China, as summarized immediately below and described in more detail below under the heading “Risks Related to Doing Business in China.”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07"/>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00" w:type="dxa"/>
            <w:vAlign w:val="bottom"/>
          </w:tcPr>
          <w:p>
            <w:pPr>
              <w:spacing w:after="0"/>
              <w:rPr>
                <w:sz w:val="17"/>
                <w:szCs w:val="17"/>
                <w:color w:val="auto"/>
              </w:rPr>
            </w:pPr>
          </w:p>
        </w:tc>
      </w:tr>
      <w:tr>
        <w:trPr>
          <w:trHeight w:val="20"/>
        </w:trPr>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88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Doing Business in China</w:t>
            </w:r>
          </w:p>
        </w:tc>
        <w:tc>
          <w:tcPr>
            <w:tcW w:w="1100" w:type="dxa"/>
            <w:vAlign w:val="bottom"/>
          </w:tcPr>
          <w:p>
            <w:pPr>
              <w:spacing w:after="0"/>
              <w:rPr>
                <w:sz w:val="24"/>
                <w:szCs w:val="24"/>
                <w:color w:val="auto"/>
              </w:rPr>
            </w:pPr>
          </w:p>
        </w:tc>
      </w:tr>
      <w:tr>
        <w:trPr>
          <w:trHeight w:val="213"/>
        </w:trPr>
        <w:tc>
          <w:tcPr>
            <w:tcW w:w="130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453"/>
        </w:trPr>
        <w:tc>
          <w:tcPr>
            <w:tcW w:w="1300" w:type="dxa"/>
            <w:vAlign w:val="bottom"/>
            <w:tcBorders>
              <w:left w:val="single" w:sz="8" w:color="auto"/>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33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4"/>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Geopolitical and regulatory tensions between the U.S. and China, and on a larger scale internationally, may dampen growth in China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markets where the majority of our customers reside, and our activities and results may be negatively impacted.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53"/>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PRC economic, political and social conditions as well as government policies could adversely affect our business and prospects.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for failure to fully comply with the NDRC and the MOFCOM filing requirements for historical overseas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enforcement of the Labor Contract Law of the People’s Republic of China, or the PRC Labor Contract Law, and other labor-related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regulations in the PRC may increase our labor costs and impose limitations on our labor practices.</w:t>
            </w:r>
          </w:p>
        </w:tc>
        <w:tc>
          <w:tcPr>
            <w:tcW w:w="1100" w:type="dxa"/>
            <w:vAlign w:val="bottom"/>
            <w:tcBorders>
              <w:bottom w:val="single" w:sz="8" w:color="auto"/>
              <w:right w:val="single" w:sz="8" w:color="auto"/>
            </w:tcBorders>
          </w:tcPr>
          <w:p>
            <w:pPr>
              <w:spacing w:after="0"/>
              <w:rPr>
                <w:sz w:val="20"/>
                <w:szCs w:val="20"/>
                <w:color w:val="auto"/>
              </w:rPr>
            </w:pPr>
          </w:p>
        </w:tc>
      </w:tr>
      <w:tr>
        <w:trPr>
          <w:trHeight w:val="453"/>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Failure to make adequate contributions to various employee benefit plans as required by the PRC regulations may subject us to penalties.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Any failure to comply with PRC regulations regarding the registration requirements for employee share incentive plans may subject the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PRC plan participants or us to fines and other legal or administrative sanctions.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may be deemed to be a PRC resident enterprise under the Enterprise Income Tax Law, or the EIT Law, and be subject to the PRC</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taxation on our worldwide income, which may significantly increase our income tax expenses and materially decrease our profitability.</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We face uncertainty with respect to indirect transfers of equity interests in PRC resident enterprises by their non-PRC holding</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Our leased property interest may be defective and our right to lease the properties may be affected by such defects, which could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significant disruption to our business.</w:t>
            </w:r>
          </w:p>
        </w:tc>
        <w:tc>
          <w:tcPr>
            <w:tcW w:w="1100" w:type="dxa"/>
            <w:vAlign w:val="bottom"/>
            <w:tcBorders>
              <w:bottom w:val="single" w:sz="8" w:color="auto"/>
              <w:right w:val="single" w:sz="8" w:color="auto"/>
            </w:tcBorders>
          </w:tcPr>
          <w:p>
            <w:pPr>
              <w:spacing w:after="0"/>
              <w:rPr>
                <w:sz w:val="20"/>
                <w:szCs w:val="20"/>
                <w:color w:val="auto"/>
              </w:rPr>
            </w:pPr>
          </w:p>
        </w:tc>
      </w:tr>
      <w:tr>
        <w:trPr>
          <w:trHeight w:val="427"/>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If the settlement reached between the SEC and the Big Four PRC-based accounting firms (including the Chinese affiliates of our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independent registered public accounting firms), concerning the manner in which the SEC may seek access to audit working papers from</w:t>
            </w:r>
          </w:p>
        </w:tc>
        <w:tc>
          <w:tcPr>
            <w:tcW w:w="1100" w:type="dxa"/>
            <w:vAlign w:val="bottom"/>
            <w:tcBorders>
              <w:right w:val="single" w:sz="8" w:color="auto"/>
            </w:tcBorders>
          </w:tcPr>
          <w:p>
            <w:pPr>
              <w:spacing w:after="0"/>
              <w:rPr>
                <w:sz w:val="18"/>
                <w:szCs w:val="18"/>
                <w:color w:val="auto"/>
              </w:rPr>
            </w:pPr>
          </w:p>
        </w:tc>
      </w:tr>
      <w:tr>
        <w:trPr>
          <w:trHeight w:val="216"/>
        </w:trPr>
        <w:tc>
          <w:tcPr>
            <w:tcW w:w="101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audits in China of U.S.-listed companies, is not or cannot be performed in a manner acceptable to authorities in China and the United</w:t>
            </w:r>
          </w:p>
        </w:tc>
        <w:tc>
          <w:tcPr>
            <w:tcW w:w="1100" w:type="dxa"/>
            <w:vAlign w:val="bottom"/>
            <w:tcBorders>
              <w:right w:val="single" w:sz="8" w:color="auto"/>
            </w:tcBorders>
          </w:tcPr>
          <w:p>
            <w:pPr>
              <w:spacing w:after="0"/>
              <w:rPr>
                <w:sz w:val="18"/>
                <w:szCs w:val="18"/>
                <w:color w:val="auto"/>
              </w:rPr>
            </w:pPr>
          </w:p>
        </w:tc>
      </w:tr>
      <w:tr>
        <w:trPr>
          <w:trHeight w:val="241"/>
        </w:trPr>
        <w:tc>
          <w:tcPr>
            <w:tcW w:w="101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States, we could be unable to timely file future financial statements in compliance with the requirements of the Exchange Act.</w:t>
            </w:r>
          </w:p>
        </w:tc>
        <w:tc>
          <w:tcPr>
            <w:tcW w:w="1100" w:type="dxa"/>
            <w:vAlign w:val="bottom"/>
            <w:tcBorders>
              <w:bottom w:val="single" w:sz="8" w:color="auto"/>
              <w:right w:val="single" w:sz="8" w:color="auto"/>
            </w:tcBorders>
          </w:tcPr>
          <w:p>
            <w:pPr>
              <w:spacing w:after="0"/>
              <w:rPr>
                <w:sz w:val="20"/>
                <w:szCs w:val="20"/>
                <w:color w:val="auto"/>
              </w:rPr>
            </w:pPr>
          </w:p>
        </w:tc>
      </w:tr>
      <w:tr>
        <w:trPr>
          <w:trHeight w:val="459"/>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tc>
        <w:tc>
          <w:tcPr>
            <w:tcW w:w="1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historical financial, operating results and growth rates may not be indicative of future performance.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limited operating history. We launched our trading platform in August 2015 and have experienced rapid growth since then. Our total revenues decreased from US$264.5 million in 2021 to US$225.4 million in 2022 and increased to US$272.5 million in 2023. We generated net income of US$14.7 million in 2021 and incurred net losses of US$2.3 million in 2022, as a result of the challenging macro environment in 2022; however, we generated net income of US$33.0 million in 2023, driven by our strategy execution on internationalization and the high interest rate environment. We expect our business expansion to continue as we grow our customer base and explore new market opportunities. However, due to our limited operating history, our historical growth rates may not be indicative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performance. We cannot assure you that we will grow at the same rate and succeed in introducing new services and products as we did in the past. Further, we may fail to adjust our business model to our development needs or the requirements of this ever-changing industry. You should consider our prospects in light of the risks and uncertainties that a fast-growing company with a limited operating history may be exposed to or encounter.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incur losses in the future.</w:t>
      </w:r>
    </w:p>
    <w:p>
      <w:pPr>
        <w:spacing w:after="0" w:line="229" w:lineRule="exact"/>
        <w:rPr>
          <w:sz w:val="20"/>
          <w:szCs w:val="20"/>
          <w:color w:val="auto"/>
        </w:rPr>
      </w:pPr>
    </w:p>
    <w:p>
      <w:pPr>
        <w:jc w:val="both"/>
        <w:ind w:firstLine="50"/>
        <w:spacing w:after="0" w:line="261" w:lineRule="auto"/>
        <w:rPr>
          <w:sz w:val="20"/>
          <w:szCs w:val="20"/>
          <w:color w:val="auto"/>
        </w:rPr>
      </w:pPr>
      <w:r>
        <w:rPr>
          <w:rFonts w:ascii="Times New Roman" w:cs="Times New Roman" w:eastAsia="Times New Roman" w:hAnsi="Times New Roman"/>
          <w:sz w:val="18"/>
          <w:szCs w:val="18"/>
          <w:color w:val="auto"/>
        </w:rPr>
        <w:t>We generated net income of US$14.7 million in 2021 and US$33.0 million in 2023, but we incurred net losses of US$2.3 million in 2022. We have made significant investments in research and development, employee compensation and benefits, communication and market data, and marketing and branding to rapidly develop and expand our business. We expect to continue or increase such investments to establish and expand our business, and these investments may not result in an increase in revenue or positive cash inflow from operations in a timely manner,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incur substantial losses for a number of reasons, including the lack of a larger customer base, as well as other risks discussed herein, and we may incur unforeseen expenses, or encounter difficulties, complications and delays in generating revenues or achieving profitability. We may also incur net losses in the future due to changes in the macroeconomic and regulatory environment, competitive dynamics and our inability to respond to these changes in a timely and effective manner. If we are unable to maintain profitability, we may have to reduce the scale of our operations, which may impact our business growth and adversely affect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applicable laws in the jurisdictions in which we operate could harm our business, reputation,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businesses of securities and other financial instruments are heavily regulated. Our brokerage business is subject to regulations in the United States, Singapore, New Zealand, Australia, Hong Kong and other jurisdictions in which we offer our products and services. Major regulatory bodies include, among others, in the United States, the Financial Industry Regulatory Authority, or FINRA, the U.S. Securities and Exchange Commission, or the SEC, and the Commodity Futures Trading Commission, or the CFTC; in Singapore, the Monetary Authority of Singapore, or the MAS; in New Zealand, the Financial Markets Authority New Zealand, or the FMA, and the Financial Service Providers Register, or the FSPR; in Australia, the Australian Securities and Investments Commission, or ASIC; in Hong Kong, the Securities and Futures Commission or SFC. Domestic and foreign stock exchanges, other self-regulatory organizations and state and foreign securities commissions can censure, fine, issue cease-and-desist orders, suspend or expel a broker and its officers or employees. For instance, Tiger Brokers SG underwent one inspection by Singapore Exchange (“SGX”) on securities margin financing, risk management, risk-based capital, trust account and segregation of customer funds, liquidity, and funding. Regarding the SGX inspection, fieldwork is ongoing, and observations have yet to be finalized. Additionally, in 2023 FINRA concluded an examination of TradeUp Securities Inc. (“TradeUP Securities”) and identified certain compliance concerns relating to anti-money laundering and other issues. We have not received a formal final decision from FINRA and cannot predict the outcome of this process. Should any significant sanctions, including significant fines, be levied on us or our affiliates, officers or employees, it could have significant adverse impact on us. Non-compliance with applicable laws or regulations could result in sanctions to be levied against us, including fines and censures, suspension or expulsion from a certain jurisdiction or market or the revocation or limitation of licenses, which could have a significant adverse effect on our reputation, prospects, revenues and earnings.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securities brokerage firms are subject to numerous conflicts of interest or perceived conflicts of interest, over which federal and state regulators and self-regulatory organizations have increased their scrutiny. Addressing conflicts of interest is a complex and difficult undertaking. Our business and reputation could be harmed if we were to fail, or appear to fail, to address conflicts appropriately.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use the Internet and mobile network as a major distribution channel to provide services to our customers. A number of regulatory agencies have adopted regulations regarding customer privacy, system security and safeguarding practices and the use of customer information by service providers. Additional laws and regulations relating to the Internet and mobile network and safeguarding practices could be adopted in the future, including laws related to access and identity theft and regulations regarding the pricing, taxation, content and quality of products and services delivered over the Internet and mobile network. Complying with these laws and regulations may be expensive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time-consuming and could limit our ability to use the Internet and mobile network as a distribution channel, which would have a material adverse effect on our business and profitability.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comply with all applicable laws and rules is largely dependent on our internal and third party vendors’ system to ensure compliance, as well as our ability to attract and retain qualified compliance personnel. While we maintain systems and procedures designed to ensure that we comply with applicable laws and regulations, violations could still occur. Some legal and regulatory frameworks provide for the imposition of fines or penalties for non-compliance even though the non-compliance was inadvertent or unintentional and even though systems and procedures reasonably designed to prevent violations were in place at the time. There may be other negative consequences resulting from a finding of non-compliance, including restrictions on certain activities. Such a finding may also damage our reputation and our relationships with regulators and could restrict the ability of institutional investment managers to invest in our securities.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heavily-regulated industry which requires various licenses, permits and approvals in different jurisdictions to conduct our businesses. Our customers include people who live in jurisdictions where we do not have licenses issued by the local regulatory bodies. It is possible that authorities in those jurisdictions may take the position that we are required to obtain licenses or otherwise comply with laws and regulations which we believe are not required or applicable to our business activities. If we fail to comply with the regulatory requirements, we may encounter the risk of being disqualified for our existing businesses or being rejected for renewal of our qualifications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technology research and development, management, supporting and other teams are based in China and a significant portion of our customers are Chinese speaking people including PRC citizens. Our PRC subsidiaries and the VIEs work closely with and provide significant supporting services for our trading platform outside of China as well as teams in New Zealand, Hong Kong, Singapore, the United States and Australia.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2016, the CSRC posted an investor alert on its website warning investors that except for certain investment channels approved by the CSRC under the PRC laws, the CSRC has not approved any domestic or foreign institutions to provide services for domestic investors to participate in overseas securities trading. In September 2016, we received a rectification notice issued by the Beijing branch of the CSRC. Following such notice, we took certain rectification measures in order to comply with the requirements set forth therein, and we provided written responses to such authority promptly. We communicate with the Beijing branch of the CSRC from time to time to ensure our business follow their requirements.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30, 2022, the CSRC issued the CSRC 1230 Notice, stating that we had been carried out cross-border securities business for Chinese mainland investors without approval of the CSRC, and such activities constitute illegal operation of securities business under the Securities Law of the PRC. The CSRC 1230 Notice set out two principal rectification requirements. (i) We should stop all incremental illegal operations in Chinese mainland, such as soliciting and developing any new Chinese mainland customers or opening new securities accounts for them; and (ii) We should properly handle the existing accounts held by Chinese mainland investors by allowing them to continue their transactions through such accounts. However, we are strictly prohibited from accepting any incremental funds that violate PRC foreign exchange regulations to such existing accounts. Furthermore, on February 15, 2023, the CSRC published its official reply in response to the public attention on the CSRC 1230 Notice, emphasizing its core requirements of “prohibiting incremental illegal business effectively and solving existing issues properly” in order to regulate our business operations in Chinese mainland. We have been actively and may continue to be in cooperation with CSRC to satisfy 1230 Notice and meet the rectification requirements set out under CSRC 1230 Notice. Starting from May 18, 2023, our APP “Tiger International” has been removed from the PRC application market. Besides, we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cannot rule out the possibility that we may take the initiative to adopt applicable rectification measures in the future to further curb incremental Chinese mainland domestic users and meet the requirements of the CSRC.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if the CSRC is not satisfied with our rectification measures or the CSRC imposes other further regulatory actions or penalties on us, our business and results of operations may be materially and adversely affected. Furthermore, new laws and regulations in connection with our business activities may be adopted from time to time. While we will make best efforts to continue to fulfill the requirements under any applicable future PRC laws and regulations, there may be substantial uncertainties regarding the interpretation and application of current or any future PRC laws and regulations applicable to our business and the PRC government or other governmental authorities may ultimately take a view that is inconsistent with our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more details of the notice and our rectification measures, please see “Item 3. Key Information – Description of Certain PRC Regulations Affecting Our Business.” However, we cannot assure you that we will not be subject to further investigation or scrutiny from regulators. If we are required to make further rectifications, our business and financial condition could be materially and adversely affected. If we fail to receive required permits in a timely manner or at all, or obtain or renew any permits and certificates, we may be subject to fines, confiscation of the gains derived from our non-compliant activities, suspension of our non-compliant activities or claims for compensation of any economic loss suffered by our customers or other relevant parties.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be unable to accurately or timely report our results of operations or prevent fraud, and investor confidence and the market price of the ADSs may be materially and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initial public offering, we were a private company with limited accounting personnel and other resources with which to address our internal controls. In 2019 and 2020, we and our independent registered public accounting firms identified a material weakness in our internal controls. A material weakness is a deficiency, or combination of deficiencies, in internal controls such that there is a reasonable possibility that a material misstatement of our annual or interim financial statements will not be prevented or detected on a timely basis. The material weakness identified related to our lack of sufficient and competent accounting and financial reporting personnel with appropriate knowledge of U.S. GAAP to design and implement robust period-end financial reporting policies and procedures for the preparation of consolidated financial statements and related disclosures in accordance with U.S. GAAP and the financial reporting requirements set forth by the SEC. In the past, we made certain corrections to our interim financial reporting. While, as of December 31, 2021, based on our management’s assessment on the performance of the remediation measures, we determined that the material weakness had been remediated, and no material weakness existed as of December 31, 2023, in the future we may determine that we have additional material weaknesses, or our independent registered public accounting firm may disagree with our management assessment of the effectiveness of our internal controls.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from management on the effectiveness of our internal control over financial reporting in our annual report on Form 20-F. In addition, our independent registered public accounting firm must attest to and report on the effectiveness of our internal control over financial reporting.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2023. See “Item 15. Controls and Procedures—Management’s Annual Report on Internal Control over Financial Reporting.” 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and our independent registered public accounting firm may not be able to conclude that we have effective internal control over financial reporting at a reasonable assurance level.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periods. Furthermore, we have incurred and anticipate that we will continue to incur considerable costs, management time and other resources in an effort to comply with Section 404 of the Sarbanes-Oxley Act and other requirements.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the relevant SAFE rules and regulations may give rise to regulatory inquiries, investigations or other actions, which may disrupt our business and could materially and adversely impact our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customers are PRC citizens resident in China and are therefore subject to the restrictions imposed by the applicable rules and regulations promulgated by the State Administration of Foreign Exchange, or the SAFE, regarding the conversion of Renminbi into foreign currencies and the remittance and use of such funds outside China. Under the current PRC foreign exchange regulations, each PRC citizen is permitted to convert up to an aggregate of US$50,000 equivalent Renminbi each year for appropriate personal use. Such appropriate use does not include direct investment into secondary stock markets. PRC citizens who intend to convert U.S. dollars exceeding such quota are required to go through additional application and review procedures with the relevant commercial banks designated by the SAFE. Despite our emphasis on our customers’ compliance with the relevant rules and regulations in the agreements with customers on our platform, we cannot assure you that our customers will follow the rules and regulations and the provisions in our agreements at all times. Any misbehavior or violation of our customers of applicable laws and regulations could lead to regulatory inquiries and investigations that involve us, which may affect our prospects.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customers’ transfer of funds, in March 2016, we received a notice from the SAFE requiring us to review and report situations regarding our customers’ account opening and fund transfers on our platform. Thereafter, the regulator conducted an onsite inspection collecting information on our customers’ compliance with the relevant SAFE rules and regulations since the inception of our business. We submitted the relevant materials as requested by the regulator by the end of March 2016. In December 2016, the SAFE made another visit to our company and we submitted some additional documents per its requirements. As of the date of this report, we have not received any further inquiries or notices from the SAFE regulators. For more details of the notice aforementioned and our measures in response thereto, please see “Item 3. Key Information – Description of Certain PRC Regulations Affecting Our Business.” Since the PRC authorities and the commercial banks designated by the SAFE to conduct foreign exchange services have significant amount of discretion in interpreting, implementing and enforcing the relevant foreign exchange rules and regulations, and for many other factors that are beyond our control and anticipation, we may face more severe consequences, including but not limited to being asked to take additional and burdensome measures to monitor the source and use of the foreign currency funds in the accounts of our customers or suspend our operations pending an investigation or indefinitely. As a result, our business, results of operations and financial condition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change in the regulatory and legal regime for the securities brokerage industry may have a significant impact on our business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Firms in the securities brokerage industry have been subject to an increasingly regulated environment over recent years, and penalties and fines sought by regulatory authorities have also increased. This regulatory and enforcement environment has created uncertainties with respect to various types of products and services that historically had been offered by us and that were generally believed to be permissible and appropriate. Our model of operation and profitability may be directly affected by legislative changes in rules promulgated by government agencies and self-regulatory organizations in various jurisdictions that oversee our businesses, and changes in the interpretation or enforcement of existing laws and rules, such as the potential imposition of transaction taxes.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continue to operate and expand our services internationally, we may have to comply with the regulatory controls of each jurisdiction where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our business internationally. For example, we face significant legal uncertainties as to whether the CSRC would require us to get certain licenses or permits relating to our activities in China given the fact that most of our technology, customer services and administrative teams are based in China, or whether the CSRC would view our current or previous business operations in China as non-compliant with the relevant regulatory regime. See Item 3.D “Risk Factors - Risks Related to Our Business and Industry-We may not be able to obtain or maintain all necessary licenses, permits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approvals and to make all necessary registrations and filings for our activities in multiple jurisdictions and related to residents therein, especially in China or otherwise related to PRC residents.” We could be subject to disciplinary or other actions in the future due to claimed or deemed non-compliant, which could have a material adverse effect on our business, financial condition and results of operations as further described under “-Non-compliance with applicable laws in certain jurisdictions could harm our business, reputation,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Accusations or claims against us may adversely affect our business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involved in cases or claims such as infringements upon reputation and intellectual property rights allegedly conducted by users on our platform, and portraiture right infringements based on the fact that we list some of our shareholders on our website. For other examples, please see Item 3.D “Risk Factors - 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 Although the records of investigations or accusations did not necessarily lead to sanctions against us in a direct way, these historical records might be accessed online or offline, which could adversely affect our business operations and reputation, and thus further affect our progress if we decide to enter into new markets in these jurisdictions.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business currently relies mostly on collaboration with Interactive Brokers. Our business will be adversely impacted if we are unable to maintain our relationship with Interactive Brokers.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Interactive Brokers to execute, settle and clear a portion of the trades of the U.S. and Hong Kong stocks and other financial instruments, and to comply with certain federal, state and other laws, as discussed more fully in Item 4.B “Business Overview-Our Core Products and Services-Brokerage Services.” For the years ended December 31, 2021, 2022, and 2023, 57.4%, 24.3%, and 16.6% of our total net revenues were executed and cleared by Interactive Brokers. For consolidated accounts, the information of which is not fully disclosed to Interactive Brokers, we receive commission fees and direct a pre-determined portion to Interactive Brokers. For fully disclosed accounts, every time Interactive Brokers executes and clears a trade, it collects the commissions, deducts its pre-determined portion and returns the rest of the commission fees to us. Customers can also trade on margin and short sell securities on our trading platform. We generate interest income arising from margin financing offered by us to consolidated account customers and earn financing service fees related to the margin financing provided by Interactive Brokers to fully disclosed account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our relationship with Interactive Brokers deteriorates, or if Interactive Brokers were to suspend, limit, or cease its operations, we may need to enter into alternative arrangements with different clearing agents or increase our self-clearing of trades. To date, we have not frequently used any other backup clearing agents for execution and clearing services to the extent we use Interactive Brokers. Our relationships with such clearing agents are subject to a number of risks and may be subject to change or termination with appropriate notice.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relationship with Interactive Brokers has historically been critical to our business and remains important to our business. If we need to enter into alternative arrangements with a different clearing agent to replace our existing arrangements, we may not be able to negotiate a favorable alternative arrangement. Transitioning to a new clearing agent or increasing self-clearing through TradeUP Securities are time-consuming and may affect the user experience or, if our platform becomes inoperable, may result in our inability to facilitate trades through our platform. We would also need to comply with applicable laws regarding execution and clearing services, which would be costly and time-consuming. If we are unsuccessful in maintaining our relationships with Interactive Brokers, our operating cost and expenses might increase, which may materially and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Self-clearing exposes us to significant operational, liquidity, financing and regulatory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self-clearing a portion of the trades of the U.S. stocks and other financial instruments in the third quarter of 2019, following our acquisition of TradeUP Securities. Nowadays, we self-clear a majority of U.S. and Hong Kong cash equities trades and we expect to increase further in the future the proportion of such trades that we self-clear. Self-clearing requires us to finance transactions and maintain margin deposits at clearing organizations.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Clearing and execution services include the confirmation, receipt, settlement, delivery and record-keeping functions involved in securities transactions. Clearing brokers also assume direct responsibility for the possession or control of client securities and other assets and the clearing of client securities transactions. However, clearing brokers also must rely on third-party clearing organizations, such as the Depositary Trust Clearing Corporation and its subsidiaries in the United States, in settling client securities transactions. Clearing brokers are also responsible for protecting client assets and complying with relevant customer protecting regulations. Clearing securities firms, such as TradeUP Securities, are subject to substantially more regulatory oversight and examination than introducing brokers who rely on others to perform clearing functions. Errors in performing clearing functions, including clerical and other errors related to the handling of funds and securities held by us on behalf of clients, could lead to regulatory fines and civil penalties as well as losses and liability in related legal proceedings brought by clients and others.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required to finance our clients’ unsettled positions and we could be held financially liable for the defaults of our clients. Although these obligations are collateralized, we are subject to market risk in the liquidation of customer collateral to satisfy those obligations. Default by our clients may also give rise to our incurring penalties imposed by execution venues, regulatory authorities and clearing and settlement organizations.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agencies have required clearing and settlement organizations to increase the level of margin deposit requirements and they may continue to do so in the future. Growth in trading activity may lead to higher regulatory capital requirements. We cannot assure you that these capital requirements will be sufficient to protect market participants from a default or that we will not be adversely affected in the event of a significant default.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self-clearing exposes our business to operational risks, including business and technology disruption; operational inefficiencies; liquidity, financing and regulatory risks; and potentially increased expenses. We may encounter difficulties with self-clearing that lead to operating inefficiencies, technology issues, dissatisfaction amongst our client base, disruption in the infrastructure that supports the business, inadequate liquidity, increased margin requirements with clearing organizations and third-party settlement agents who provide financing with respect to transactions, reductions in available borrowing capacity and financial loss. Any such delay, disruption, expense or failure could adversely affect our ability to effect transactions and manage our exposure to risk. Moreover, any of these events could have a material adverse effect on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 diverse customer base and offer new and innovative products and services, our business, financial condition and results of operation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generated a significant portion of revenues through the provision of online brokerage services including commissions for execution of trades and interest income or financing service fees arising from or related to margin financing for our customers. Key success factors of the online brokerage industry include expansion of products and services that add value to customers, acquisition of licenses in different jurisdictions and enhancement of user experience. We intend to continue strengthening the innovation, security, efficiency and effectiveness of our brokerage services, including our user-friendly interface, comprehensive functionalities and customer service capabilities and to expand our service offerings to small and medium-sized institutional customers and increase the proportion of revenues generated from them. We have developed customized application programming interface, or API, for our institutional customers. As institutional customers tend to trade more consistently and demand a wider spectrum of services as compared to individual investors, we strive to foster long-term partnerships with them and to grow our revenue streams substantially as a result of greater number of institutional customers utilizing our trading platform and services. We cannot guarantee that we will be successful in expanding our customer base, and if we are unable to do so, our growth prospects, financial condition and results of operation may be adversely affected.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continue integrating value-added services, including asset management and wealth management services as well as institutional and corporate services to improve popularity and enhance customer stickiness and diversify revenue streams. As we provide a wider array of services, including ESOP, asset management and wealth management services, we expect to attract more institutional and corporate customers to engage us to provide such services and in turn generate more revenues. We expect our operating cost and expenses to continue to increase. If we are unable to develop products and services that attract sufficient customers, our business, financial condition and results of operation may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operate in a cost-effective manner, our results of operation may be negatively impacted.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control costs and expenses relating to our operations affects our profitability. With the expansion of our business, we expect our operating cost and expenses to continue to increase, including employee compensation and benefits, marketing and branding and other costs and expenses. The salary level in the fintech industry in and outside China has generally increased in recent years, and we offer competitive wages and other benefits to recruit and retain quality professionals. Employee compensation and benefits (excluding share-based compensation) increased from US$73.8 million in 2021 to US$87.5 million in 2022 and US$90.6 million in 2023. In addition, we utilize various marketing tools, including branding on online and traditional channels, collaborating with business partners, hosting branding events and circulating branding materials, to attract new customers, retain our existing customers and increase our revenues. Our marketing and branding expenses were US$59.3 million, US$33.1 million and US$20.9 million in 2021, 2022 and 2023, respectively, accounting for 22.4%, 14.7% and 7.7%, respectively, of our total revenues for the same periods. If we are unable to operate in a cost-effective manner, our results of operations may be negatively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number of external service providers for certain key market information and data, technology, processing and supporting functions.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number of external service providers for certain key market information and data, technology, processing and supporting functions. These include the services of market makers, exchanges and Interactive Brokers and other clearing agents and clearinghouses to execute and settle customer orders. Furthermore, external content providers provide us with financial information, market news, charts, option and stock quotes and other fundamental data that we offer to customers. These service providers face technical, operational and security risks of their own. Any significant failures by them, including improper use or disclosure of our confidential customer, employee or company information, could interrupt our business, cause us to incur losses and harm our reputation. Particularly, we have contracted with Nasdaq, New York Stock Exchange and a few other institutions to allow our customers to access real-time market information data, which are essential for our customers to make their investment decisions and take actions. Any failure of such information providers to update or deliver the data in a timely manner as provided in the agreements could lead to potential losses of our customers, which will in turn affect our business operations and reputation.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that the external service providers will be able to continue to provide these services to meet our current needs in an efficient and cost-effective manner, or that they will be able to adequately expand their services to meet our needs in the future. Some external service providers which have assets that are important to the services they provide us are located outside the United States, and their ability to provide these services is subject to risks from unfavorable political, economic, legal or other developments, such as social or political instability, changes in governmental policies or changes in the applicable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interruption in or the cessation of service by any external service provider as a result of system failures, capacity constraints, financial constraints or problems, unanticipated trading market closures or for any other reason and our inability to make alternative arrangements in a smooth and timely manner, if at all, could have a material adverse effect on our business, results of operations and financial condition.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disputes might arise out of or in connection with the agreements regarding our or the service providers’ performance of the obligations thereunder. To the extent that any service provider disagrees with us on the quality of the products or services, terms and conditions of the payment or other provisions of such agreements, we may face claims, disputes, litigations or other proceedings initiated by such service provider against us. We may incur substantial expenses and require significant attention of management in defending against these claims, regardless of their merit. We could also face damages to our reputation as a result of such claims, and our business, financial condition, results of operations and prospects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cooperation agreements with a few third party platforms for a portion of our revenues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revenue-sharing arrangements with third party platforms, pursuant to which those platforms allow us to interface with their own customers and receive a percentage of the fees paid by those customers who have transacted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platform. Our agreements with those platforms typically have a term of one to three years. There can be no assurance that our agreements with them will be extended or renewed after their respective expiration or that we will be able to extend or renew such agreements on terms and conditions favorable to us. If any of the important platforms breaches its obligations under any of these agreements or refuses to extend or renew it when the term expires, we may lose all or a portion of the customer base of its network or we may not be able to continue to acquire new customers through that platform. Any termination or deterioration of our relationship with an important platform, and any extension or renewal after the respective initial term of these agreements on terms and conditions less favorable to us would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joint ventures that could present unforeseen integration obstacles, incur unpredicted costs or may not enhance our business as we expected.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made a few selective acquisitions to expand our business into new areas and jurisdictions. We may in the future continue to pursue acquisitions and joint ventures as part of our growth strategy. Any future acquisition or joint venture may result in exposure to potential liabilities of the acquired companies, significant transaction costs and present new risks associated with entering additional markets or offering new products and integrating the acquired companies or newly established joint ventures. Potential liabilities may arise from deficiencies in due diligence findings and deficient past track record results. We may also become subject to new, different, and potentially more complex or onerous regulatory requirements as our business, services, and geographic footprint expand. For instance, in November 2018, Tiger Fintech Holdings completed the acquisition of 100% of the equity interests in US Tiger Securities, Inc. In July 2019, Tiger Fintech Holdings, Inc. completed its acquisition of 100% of the equity of TradeUP Securities, a U.S. online broker service platform that focuses on empowering self-directed investors with necessary tools to manage their portfolios. In October 2021, Up Fintech International Limited completed its acquisition of 100% of the equity of Ocean Joy Holdings Limited (“Ocean Joy”), and its sole subsidiary Tiger Brokers (HK) Global Limited (“Tiger Brokers HK”, formerly known as Ocean Joy Securities Limited), a licensed corporation of the Securities and Futures Commission of Hong Kong (“SFC”) holding Type 1 (“Dealing in Securities”), Type 2 (“Dealing in Futures Contracts”), Type 4 (“Advising on Securities”), Type 5 (“Advising on Futures Contracts”) and Type 9 (“Asset Management”) licenses. Such acquisitions made to expand our business, facilities and workforce will also involve costs and risks, such as potential labor disputes and compliance costs and risks. There can be no assurance that we will be able to grow our acquired or invested businesses, or realize returns, benefits of synergies and growth opportunities we expect in connection with such acquisitions.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global events beyond our control, including overall slowdowns in securities trading. Our revenues and profitability depend on trading volume and are prone to significant and unpredictable fluctuations.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brokerage and financial services firms, our business and profitability are directly affected by elements that are beyond our control, such as economic and political conditions, broad trends in business and finance, changes in volume of securities transactions, changes in the markets in which such transactions occur and changes in how such transactions are processed. A weakness in equity markets, such as a slowdown causing reduction in trading volume in the United States and Hong Kong stocks and other financial instruments, has historically resulted in reduced transaction revenues and would have a material adverse effect on our business, financial condition and results of operations. For example, the highly volatile market conditions in 2022 relating to continual geopolitical instability and increase in interest rates across the global caused some of our clients to experience financial losses. Additionally, while we cannot predict the consequences of the war between Russia and Ukraine and subsequent economic, market, political, and diplomatic sanctions imposed on Russia, Belarus, and related parties by the international community, including the European Union, the United States, and others, these conditions contributed to dramatically volatile market conditions in February and March 2022 and may cause some of our clients to experience financial losses. If we are unable to collect fees from, or recover margin loans made to, our clients as a result, our financial condition and results of operations may be adversely affected. Additionally, certain market participants may be overleveraged, which may exacerbate the effects of market volatility. In case of sudden, large price movements, such market participants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more likely to be unable to meet their obligations to brokers who, in turn, may not be able to meet their obligations to their counterparties. As a result, the financial system or a portion thereof could collapse, and the impact of such an event could be catastrophic to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depend substantially on our customers’ trading volume, which is influenced by the general trading activities in the securities trading market. Securities trading faces competition from other investment products, such as wealth management products and peer-to-peer lending. These alternative investment products may divert investors from or reduce their activity levels in securities trading, which may adversely affect our trading volume, revenues and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general trading activities in our industry are also directly affected by factors such as economic and political conditions, macro trends in business and finance, investors’ interest level in securities trading and legislative and regulatory changes. Any of these factors or other factors may reduce the trading activity level in securities trading industry and adversely affect our business and results of operations and cash flows. Events in global financial markets in recent years resulted in substantial market volatility and increased customer trading volume. However, any sustained downturn in general economic conditions or global equity markets could result in reduced customer trading volume and revenues. Severe market fluctuations or weak economic conditions could reduce our trading volume and revenues and have a material adverse effect on our profitability. As a result, period to period comparisons of our revenues and operating results may not be meaningful, and future revenues and profitability may be subject to significant fluctuations or declines.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Attrition of customer accounts and failure to attract new accounts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mainly comprises of individual customers. Although we offer services designed to educate, support and retain our customers, our efforts to attract new customers or reduce the attrition rate of our existing customers may not be successful. The number of customers on our trading platform depends on the usability and popularity of our trading platform as well as the industry outlook of the online brokerage business. Our customers’ trading volume is directly influenced by the demand for trading by individual investors, which is affected by the general social and economic conditions, as well as individual investors’ preference for the choice of investment products. In addition, customers’ trading activities are influenced by the trading price volatility of the relevant products.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have a large and highly engaged customer base, which drives our revenue growth. Our ability to continue to effectively maintain and expand our customer base will affect the growth of our business and our revenues going forward. Our total customer accounts increased from 1,845,869 as of December 31, 2021 to 2,007,989 as of December 31, 2022 and 2,195,705 as of December 31, 2023. Our revenues decreased from US$264.5 million in 2021 to US$225.4 million in 2022 resulting from the challenging macro environment in 2022, and increased to US$272.5 million in 2023 resulting from the increase of federal benchmark rates in 2023. Furthermore, the level of customer engagement affects our commissions, interest income and financing service fees. Total account balance decreased from US$17.1 billion as of December 31, 2021 to US$14.0 billion as of December 31, 2022, and increased to US$30.6 billion as of December 31,2023. Our ability to expand our customer base, including expansion into new markets including the United States, Australia, Hong Kong and Singapore, as well as maintain and enhance customer engagement, depends on, among other things, our ability to continuously provide comprehensive and user-friendly online trading experience. If we were unable to maintain or increase our customer retention rates or generate new customers in a cost-effective manner, our business, financial condition and results of operations would likely be adversely affected. Historically, we incurred US$59.3 million, US$33.1 and US$20.9 million in marketing and branding expenses, representing 22.4%, 14.7%, and 7.7% of our total revenues in 2021, 2022 and 2023, respectively. Although we have spent significant financial resources on marketing expenses and plan to continue doing so, these efforts may not be cost-effective to attract new customers. We cannot assure you that we will be able to maintain or grow our customer base in a cost-effective way. If we are unable to maintain high quality services, or maintain or reduce our service fee rate, or introduce new products and services, we may fail to attract new customers or lose our existing customers, which could adversely affect our growth and profitability.</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earn commissions for brokerage services and interest income or financing service fees for margin financing, our results of operation may be negatively impacted.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charge commission fees for the brokerage services we deliver to our customers. We also earn interest income or financing service fees arising from or related to margin financing provided by ourselves or third parties to our customers for trading activities. Our ability to earn commission fees, interest income or financing service fees largely depends on the number of customers on our trading platform and their trading volume. From 2021 to 2023, the average rate of commissions over trading volume, which is the ratio of the total commissions to the total trading volume in the same period, declined from 0.0364% to 0.0315%. This decline was primarily due to the lower commissions resulting from the decreased trading volume. If our customers’ account balances or trading volume decline in the future, we will likely earn less in commissions, which could have a material adverse effect on our results of operations. Additionally, our ability to extend margin financing to our customers largely depends on the amount of funds we can allocate internally and obtain from external sources, such as potential borrowings on revolving credit facilities. In connection with the significant growth in our consolidated account customers, we expect to generate more interest income from margin financing offered to our customers. If we are unable to extend margin financing and earn commission fees, interest income or financing service fees, or if there is a reduction in our fee rates, our results of operations may be adversely affected. Additionally, market volatility or declines may cause our clients to experience losses, which may result in a higher rate of client defaults. If we are unable to recover funds due from our clients, our results of operations and financial condition will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level of commission and fee rates may decline in the future. Any material reduction in our commission or fee rates could reduce our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revenues from commissions and fees paid by our clients for trading securities through our platform. Commission fees generated from our brokerage services accounted for US$147.2 million, US$108.1 million and US$92.6 million in 2021, 2022 and 2023, respectively. We may experience pressure on our commission or fee rates as a result of competition we face in the online brokerage service industry. Some of our competitors offer a broader range of services to a larger client base and enjoy higher trading volumes than we do. Consequently, our competitors may be able and willing to offer trading services at lower commission or fee rates than we currently offer or may be able to offer. For example, some brokers in Hong Kong and the United States offer zero commission fees or similar policies to attract retail securities investors. As a result of this pricing competition, we could lose both market share and revenues. We from time to time award discounted or even zero commission fees to new or existing customers as part of our marketing scheme, thus attracting more customers and boosting customer stickiness.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such as rebates or discounts in order to induce trading in their systems rather than in ours. If our commission or fee rate decreases significantly, our operating and financial results may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capital requirements set by local securities regulatory authorities and agencies could materially and negatively affect our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capital requirements. For example, our subsidiary US Tiger Securities, Inc. is a registered broker-dealer in the United States. Wealthn LLC, another of our subsidiaries, is a registered investment advisor in the United States and a member of the National Futures Association, or the NFA. Our subsidiary Tiger Brokers HK is currently registered in HK to provide brokerage services. Stringent rules with respect to the maintenance of specific levels of net capital by securities broker-dealers or investment advisory firms have been adopted by many regulatory authorities and agencies such as the SEC, FINRA, the U.S. Commodity Futures Trading Commission, or the CFTC, and the NFA.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Tiger Securities, Inc. must comply with the SEC’s net capital requirements, by which its current financial health is measured by assessing its liquidity against the risks where it has exposure. At all times US Tiger Securities, Inc. must maintain its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comply with HK, U.S. and Singapore capital adequacy requirements, we will be forced to suspend our business operations until such time as we have injected enough capital to comply with applicable rules and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regulators could suspend or revoke our registration, expel us from membership, or impose censures, fines or other sanctions. If the net capital requirements are changed or expanded, or if there is an unusually large charge against net capital, then our operations that require capital could be limited, and we may not be able to pay dividends. A large operating loss or charge against net capital could have a material adverse effect on our ability to maintain or expand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anti-money laundering requirements. For example, Tiger Brokers (NZ) Limited was visited by the FMA for an Anti-Money Laundering/Combating the Financing of Terrorism (“AMLCFT”) inspection in October 2019. In April 2020, FMA had issued a formal public warning (the “Warning Letter”), which identified potential violations of the AMLCFT caused by historical control weaknesses. The FMA provided a list of remedial actions which Tiger Brokers (NZ) Limited must complete to ensure compliance with the AMLCFT legislation. Tiger Brokers (NZ) Limited, with the assistance of professional advisers, had completed all actions required in the Warning Letter by September 30, 2020 as confirmed by the FMA. Since the publication of the Warning Letter, the FMA has also taken a number of steps, including seeking, on a private basis, the production by Tiger Brokers (NZ) Limited of certain documents and information. Tiger Brokers (NZ) Limited is cooperating with the FMA and has responded to the FMA’s requests with the assistance of professional advisers, including New Zealand counsel. The investigation was resolved, on an agreed basis, by the imposition of a pecuniary penalty against Tiger Brokers (NZ) Limited. According to the Warning Letter, the FMA reserves its right to pursue civil enforcement actions against Tiger Brokers (NZ) Limited, including but not limited to civil penalties for any breach of the AMLCFT Act caused by historical control weaknesses. Tiger Brokers (NZ) Limited and the FMA have agreed to a pecuniary penalty of NZ Dollar 900,000. The resolution requires formal proceedings to be filed in New Zealand High Court. On 21 December 2022, civil pecuniary penalty proceedings were filed by the FMA for allegedly breaching the Anti-Money Laundering and Countering Financing of Terrorism (AML/CFT) Act 2009 (the Act) on 21 December 2022. No penalty is imposed against any individual representative of Tiger Brokers (NZ) Limited. There will be no restriction or suspension of the registration of Tiger Brokers (NZ) Limited or any of its individual representatives. The failure is historical and does not reflect TBNZ’s current state of compliance with the Act. There is no allegation that the failure resulted in, or was associated with, any substantive money laundering or financing of terrorism. The court hearing took place on March 23, 2023, and on June 28, 2023, the High Court ordered Tiger Brokers (NZ) Limited to pay NZ$900,000 in relation to historical breaches of the AML/CFT Act.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its supervisory function to monitor compliance, the FMA visited Tiger Brokers (NZ) Limited and Tiger Fintech Limited for an AMLCFT inspection in November 2023. In February 2024, the FMA reported back its high-level findings following the inspection in which it identified five findings in respect of Tiger Brokers and one finding for Tiger Fintech. Despite the findings being limited in number and scope, the FMA determined to open an investigation into the compliance of both businesses. These high-level findings do not relate to historical control weaknesses or matters previously raised by the FMA and a number of the findings have been (and are being) challenged on both legal and factual grounds with the assistance of international experts. The businesses both continue to fully co-operate with the FMA and await further information to better understand any concerns so that these might be addressed.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rules and regulations relating to segregation of customer funds may have a material adverse effect on our business, results of operations, financial condition, or reputation.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are subject to rules and regulations relating to the segregation of customer funds from our internal funds, set by local securities regulatory authorities and agencies, in the jurisdictions in which they operate. For example, Tiger Brokers (NZ) Limited and Tiger Fintech (NZ) Limited are subject to such rules in New Zealand. If we fail to segregate our customer funds from our internal funds in accordance with applicable rules and regulations, we may be subject to regulatory action including private or public censure, fines, or other legal action, which may have an adverse effect on our business, financial condition, or reputation. As we increase the number of consolidated accounts, we also expect cash segregated for regulatory purposes and payables to customers on our balance sheet to increase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information technology, or IT, systems could cause interruptions in our services, undermine the responsiveness of our services, disrupt our business, damage our reputation and cause losses.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IT systems support all phases of our operations, including marketing, customer development and the provision of customer support services, and are an essential part of our technology infrastructure. Our technology infrastructure and compliance capabilities are critical for us to offer high quality products and services as well as to retain and attract users and customers. They also enable us to facilitate secure, fast and cost-efficient financial transactions on our platform. We must continue to upgrade and expand our technology infrastructure and to strengthen our compliance system to keep pace with the growth of our business and to develop new features and services for our users and customers. With the continuous improvement of our technology infrastructure and compliance capabilities, we are able to serve more consolidated accounts. From 2018 to 2023, we experienced rapid growth in the number of consolidated accounts and as of December 31 , 2023, the number of consolidated accounts and corresponding assets under management has surpassed fully disclosed accounts. In connection with the growth of consolidated accounts, we expect our revenues to increase because the revenues for consolidated accounts are recognized on a gross basis including the full amount paid by customers while the revenues for fully disclosed accounts are recognized on a net basis after deducting the execution and clearing expenses paid to Interactive Brokers. On the other hand, we expect our operating costs and expenses to increase as well due to the increase in execution and clearing expenses paid to Interactive Brokers. We also expect cash segregated for regulatory purposes and payables to customers on our balance sheet to increase significantly as a result of such growth. We will invest more resources on customer verification, record keeping, compliance and trading-related functions for consolidated accounts. Our ability to serve more consolidated accounts, depends on, among other things, our ability to support all aspects of customer verification, record keeping and compliance functions using our technology and human resources.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systems fail to perform, we could experience disruptions in operations, slower response time or decreased customer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changes in customer usage patterns, technological failures, changes to our systems, linkages with third-party systems and power failures. Our systems are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key business partners and vendors, and similar events.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could take an extended period of time to restore full functionality to our technology or other operating systems in the event of an unforeseen occurrence, which could affect our ability to process and settle customer transactions. Moreover, instances of fraud or other misconduct might also negatively impact our reputation and customer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devote substantial attention and resources to the reliability, capacity and scalability of our systems, extraordinary trading volume could cause our computer systems to operate at unacceptably slow speeds or even fail, affecting our ability to process customer transactions and potentially resulting in some customers’ orders being executed at prices they did not anticipate. Disruptions in service and slower system response time could result in substantial losses and decreased customer satisfaction. We are also dependent on the integrity and performance of securities exchanges, clearinghouses and other intermediaries to which customer orders are routed for execution and clearing. System failures and constraints and transaction errors at such intermediaries could result in delays and erroneous or unanticipated execution prices, cause substantial losses for our customers and for us, and subject us to claims from our customers for damages.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currently maintain a disaster recovery and business continuity plan, which is intended to minimize service interruptions and secure data integrity, our plan may not work effectively during an emergency. The information technology system failure may lead to interruption of our operations, which in turn will prevent our customers from trading and hence significantly reduce customer satisfaction and confidence in us, cause loss or reduce potential gain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customers, or cause regulatory authorities’ investigation and penalization. Any such system failure could impair our reputation, damage our brand, subject us to claims and materially and adversely affect our business, financial condition, operating results or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our technology updated as the industry evolves, our growth, revenues and business prospects may be materially and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proprietary trading platform and customer relationship management system are critical to our business operations. In order to remain competitive, our proprietary technology is under continuous development and upgrade. If we fail to keep our technology updated as needed or as fast as our competitors or in a cost-effective manner, we may lose our competitiveness against our competitors. In addition, advancements in technology are occurring in our industry, including as companies increase use of data analytics, artificial intelligence (AI) and other technology as part of their business strategy. We will be at a competitive disadvantage if, over time, our competitors are more effective than us in their utilization of new technologies. Failure to compete may limit our service quality, lower customer confidence in us or otherwise adversely affect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the rapid advancement of technology, we may encounter risks associated with emerging technologies.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AI continues to evolve, we have taken steps to adapt to technological advancements and ensure the application of new technologies. In April 2023, we introduced TigerGPT, an AI investment assistant developed by our Group based on OpenAI, aims to provide intelligent investment decision-making support for investors. It utilizes advanced natural language processing and machine learning technologies to understand users' natural language inputs, quickly extract relevant information from a large amount of financial data and information, and provide professional answers. Our goal of rolling out TigerGPT is to provide accurate responses to investors’ questions based on reliable data. However, TigerGPT utilizes AI technology provided by OpenAI and we cannot guarantee that it will provide accurate responses or that it will not make mistakes. In addition, despite our warning notices posted on the website to all investors that the answers provided by TigerGPT are for reference purposes only and do not constitute financial advice, there remains a risk that investors may rely on AI recommendations for investment decisions. This could potentially result in financial losses for investors and consequently pose reputational risks for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fair business practice laws globally to protect our proprietary technology, intellectual property rights and brand. We have not registered some of the names, logos and characters of our platform and products as trademarks, which may adversely affect our reputation, business, financial condition and results of operations, if others register the same or similar terms as their own trademarks. Although we have submitted trademark applications for the names, logos and characters of our platform and products such as “Tiger Brokers”, in jurisdictions for existing and potential business, there is no guarantee that our applications will be approved by the relevant authorities. Although we have adopted strict internal policies and have entered into confidentiality and invention assignment agreements with certain of our employees and/or relevant third parties and also rigorously control access to proprietary technology, it is possible that third parties may copy or otherwise obtain and use our proprietary technology without our authorization or otherwise infringe on our rights. We may also face claims of infringement that could interfere with our ability to use technology that is material to our business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have to rely on litigation to enforce our intellectual property rights, protect our trade secrets, determine the validity and scope of the proprietary rights of others or defend against claims of infringement or invalidity, and may also have to attend litigation initiated against us. Any such litigation, whether successful or unsuccessful, could result in substantial costs and the diversion of resources and the attention of management, any of which could adversely affect our business. In addition, we may have to enter into royalty or licensing agreements where there can be no assurance that such licenses would be available on reasonable terms, if at all, and the settlement of these claims could have a material adverse effect on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whereby defaults by parties with whom we do business can have an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brokerage business, we are exposed to customer margin credit risk even though we automatically evaluate each account throughout the trading day and close out positions automatically for accounts that are found to be under-margined. Our policy of evaluating accounts and closing positions for accounts that are found to be underfunded may not be effective in situations in which no liquid market exists for the relevant securities or commodities or in which, for any reason, automatic liquidation for certain accounts has been disabled. If no liquid market exists or automatic liquidation has been disabled, we are subject to risks inherent in extending credit, especially during periods of rapidly declining markets. Any loss or expense incurred due to defaults by our customers in failing to repay margin loans or to maintain adequate collateral for these loans would cause harm to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claims from others and applicable administrative penalties.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receive notices of claims for infringing upon other parties’ intellectual property rights. There can be no assurance that claims for infringement or invalidity (or claims for indemnification resulting from infringement claims) will not be asserted or prosecuted against us. To provide the user community with the latest news and online content, our community website (laohu8.com) was previously programmed to automatically collect and use certain contents provided by third parties without the appropriate authorization or license. Further, some of our users might repost the contents produced by third parties without authorization on our trading platform. The contents created by third parties and published by us or our users could lead to infringement claims. We may also be subject to administrative penalties brought by the National Copyright Administration in China or its local branches for alleged copyright infringement.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promptly identify and remove all contents that may infringe upon third-party rights. Moreover, some right owners might not send us a notice before bringing a lawsuit against us. Thus, our failure to identify unauthorized contents posted on our trading platform can subject us to claims for infringement of third-party intellectual property rights or other rights. Even if we can and have removed all unauthorized content and are in the process of negotiating the license or permit, pursuant to the provisions of applicable laws and regulations, we believe our past violations or infringement might still expose us to potential claims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protect our platform from cyber-attacks, which may adversely affect our reputation, customer base and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safeguard the information of our customers, system malfunctions, employee errors, misconducts or other factors may still occur, which may lead to Internet security emergency. Our computer system, the networks we use, the networks and online trading platforms of the exchanges and other third parties with whom we interact, are potentially vulnerable to physical or electronic computer break-ins, viruses and similar disruptive problems or security breaches. A party that is able to circumvent our security measures could misappropriate proprietary information or customer information, jeopardize the confidential nature of the information we transmit over the Internet and mobile network or cause interruptions in our operations. Also see “Item 3. Key Information – Certain Risks Related to Our Chinese Operations and Operating Structure – If we fail to protect customer data and privacy, our reputation, financial condition and results of operations will be materially and adversely affected.” We or our service providers may be required to invest significant resources to protect against the threat of security breaches or to alleviate problems caused by any breaches. To the extent that our activities involve the storage and transmission of proprietary information and personal financial information, security breaches could expose us to risks of financial loss, litigation and other liabilities. Any of these events, particularly if they result in a loss of confidence in our services, could have a material adverse effect on our reputation,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potential insider trading, money laundering and securities fraud conducted by our customers which we cannot fully eliminate.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customer agreements require customers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laundering and/or, securities fraud, we cannot verify whether every transaction conducted by our customers is in compliance with such laws and regulations because our customers may circumvent our due diligence measures to commit insider trading and/or money laundering. In addition, we will review to see if our customers are politically exposed persons or on certain sanction lists (including but not limited to the lists of money laundering, terrorist financing or other crimes) through search systems provided by third-party suppliers. However, we may still be subject to certain legal or regulatory sanctions, fines or penalties, financial loss, or damage to reputation resulting from the failure of our customers to comply with insider trading and/or money laundering laws and regulations in the relevant jurisdictions. Also see Item 3.D “Risk Factors - 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KYC procedures when our customers provide outdated, inaccurate, false or misleading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collect user information during the account opening and registration process and screen accounts against public databases for purpose of verifying customer identity and detecting risks. Although we require our customers to submit documents for proof of their identity and address for completing the account registration and to update such information from time to time, we face risks as the information provided by our customers may be outdated, inaccurate, false or misleading. We cannot fully confirm the accuracy, currency and completeness of such information beyond reasonable effort. For example, some of our customers are holders of the PRC identity card. Because the PRC identity cards are usually effective for more than ten years or some may have no expiration term, customers may have changed their domicile or citizenship, thus making them subject to applicable laws and regulations of jurisdictions other than PRC such as the U.S. In this situation, despite our effort to exclude persons who reside in jurisdictions where we have no license or permit such as the United States before the completion of the acquisition of US Tiger Securities, Inc., our provision of products and services to such customers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although we and our vendors have strict internal policies for continuing KYC procedures after the activation of accounts and for issues such as anti-corruption, economic sanctions, anti-money laundering, export controls and securities fraud, we mainly rely on our continuing KYC procedures to ensure our compliance with relevant laws and regulations related to anti-corruption, economic sanctions, anti-money laundering, export controls and securities fraud. Although we have relevant trainings for our employees in all of our departments and, notably on a biweekly or triweekly basis for employees in the customer service department, our KYC system and procedures cannot be foolproof. Any potential flaw in our KYC system or any misconduct in the KYC procedures by any of our employees may also lead to our failure of compliance with such relevant laws and regulations, which will further subject us to certain legal or regulatory sanctions, fines or penalties, financial loss, or damage to reputation. Also see Item 3.D “Risk Factors - 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the profitability of our customers’ investment or ensure that our customers can make rational investment judgement.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to other brokerage and financial services providers, we cannot guarantee the profitability of the investments made or accessed by customers on or through our trading platform or Fund Mall. The profitability of our customers’ investment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although we currently set a minimum deposit requirement of US$2,000 to open and maintain a margin fully disclosed account and self-clearing accounts, a substantial portion of our customers are retail investors who are less sophisticated compared with institutional investors. We provide a forum to facilitate the provision of financial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market information, and live market commentaries. Although these materials and commentaries contain prominent disclaimers, our customers may seek to hold us responsible when they use such information to make trading decisions and suffer financial loss on their trades, or if their trades are not as profitable as they have expected. Furthermore, it is possible that some customers could solely rely on certain predictive statements made by other customers on our trading platform, ignoring our alert warnings that customers should make their own investment judgement and should not predict future performance based on historical records. As a result, the financial loss of our customers will inevitably affect our performance in terms of transaction volumes and revenues as customers decide to abort trading. In addition, some customers who have suffered substantial losses on our platform may blame our platform, seek to recover their damages from us or bring lawsuits against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reputation, or the reputation of our industry as a whole, is harmed, or the reputation of the industry as a whole is damaged, our business, financial condition, results of operations or prospects may be materially and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attract and retain customers may be adversely affected if our reputation, or the reputation of our industry as a whole, is damaged. If we fail, or appear to fail, to deal with issues that may give rise to reputational risk, our business and prospects may be harmed. These issues include, but are not limited to, mishandling customer complaints, potential conflicts of interest, privacy breaches, customer data leak, improper sales practices, as well as failure to identify legal, credit, liquidity, and market risks inherent in our business. Failure to appropriately address these issues could reduce customer confidence in us or increase customer attrition rate, which may adversely affect our reputation and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attract and retain customers may be adversely affected if the reputation of the industry as a whole is damaged. The perception of insufficient regulation and unfavorable reputation within the industry could materially and adversely affect our ability to attract and retain customers. Any fraudulent or allegedly fraudulent activities in the securities brokerage industry, which is beyond our control, may damage the reputation of the entire industry and may adversely affect our business operations and reputation.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as well as experienced and capable personnel, and our business may be adversely affected if we are unable to hire and retain qualified employees.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key management includes our Chief Executive Officer or CEO, Mr. Tianhua Wu and our Chief Financial Officer or CFO, Mr. John Fei Zeng. Our continued success is dependent upon the hire and retention of these key management members, as well as a number of other key managerial, marketing, sales, research, technical and operations personnel, and continuous recruitment of experienced and capable personnel. We do not have key man insurance and the loss of such key personnel could have a material adverse effect on our business. In addition, our ability to grow our business is dependent, to a large degree, on our ability to hire or retain such key management members and experienced personnel. If we lose any of our key management team members or fail to attract and retain professional personnel, we may not be able to execute our existing business strategies effectively or deliver excellent services to our customers, and our business, reputation, financial condition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exposure to 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part of our business, we invest in interest-earning assets and are obligated on interest-bearing liabilities. Interest rate fluctuations primarily affect our interest income and interest expenses. We earn interest income primarily from margin financing and securities borrowing and lending transactions and make interest payments on deposits we hold on behalf of our customers and borrowings provided by Interactive Brokers and other commercial lenders. Changes in interest rates could affect the interest earned on assets differently than interest paid on liabilities. A rising interest rate environment, generally results in a larger net interest spread. Conversely, a falling interest rate environment generally results in a smaller net interest spread. Our most prevalent form of interest rate risk is referred to as “gap” risk. This risk occurs when the interest rates we earn on assets change at a different frequency or scale than the interest rates we pay on liabilities. If we are unable to effectively manage our interest rate risk, changes in interest rates could have a material adverse effect on our profitability. Additionally, if we are not able to secure additional funding in the future from our existing counterparties or others on favorable terms or at all, our financial condition, growth prospects, and results of operations may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brokerage operations have exposure to liquidity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brokerage operations have exposure to liquidity risk. Maintaining adequate liquidity is crucial to our brokerage operations, including key functions such as transaction settlement and margin lending. We are subject to liquidity and capital adequacy requirements in various jurisdictions. Our liquidity needs are primarily met by equity contribution and revenue generation. A reduction of funds available from these sources may require us to seek other potentially more expensive forms of financing, such as potential borrowings on revolving credit facilities. Our liquidity could be constrained if we are unable to obtain financing on acceptable terms, or at all, due to a variety of unforeseen market disruptions. Inability to meet our funding needs in a timely manner would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value of Renminbi could result in foreign currency exchange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operating costs and expenses is denominated in Renminbi, while most of our revenues are denominated in U.S. dollars. Consequently, fluctuations in exchange rates, primarily those involving U.S. dollar, may affect the relative purchasing power of these proceeds and our balance sheet and earnings per share in U.S. dollars. In addition, appreciation or depreciation in the value of Renminbi relative to U.S. dollar would affect our financial results reported in U.S. dollar terms without giving effect to any underlying change in our business, financial condition or results of operations. Renminbi may appreciate or depreciate significantly in value against U.S. dollar in the long term, depending on the fluctuation of the basket of currencies against which it is currently valued, or it may be permitted to enter into a full float, which may also result in a significant appreciation or depreciation of Renminbi against U.S. dollar.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hedging options available in China to reduce our exposure to exchange rate fluctuations are quite limited.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arises from or is related to margin financing provided to our customers. By permitting customers to purchase securities on margin, we are subject to risks inherent in extending credit, especially during periods of heightened market volatility. Substantial fluctuations in market values of securities and the failure to honor their commitments by our customers on margin financing and securities borrowing and lending transactions could have a material adverse effect on our revenues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risk which could adversely affect our reputation, business,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arbitration claims and lawsuits in the ordinary course of our business. For example, in June 2023 we were the defendant in the class action lawsuit filed in the United States District Court for the Central District of California, in connection with the Company's PRC code of business, PRC Regulations and risk disclosure. The case has been transferred to the United States District Court for the Southern District of New York (“SDNY”) at this stage. We </w:t>
      </w:r>
      <w:r>
        <w:rPr>
          <w:rFonts w:ascii="Times New Roman" w:cs="Times New Roman" w:eastAsia="Times New Roman" w:hAnsi="Times New Roman"/>
          <w:sz w:val="18"/>
          <w:szCs w:val="18"/>
          <w:color w:val="0D0D0D"/>
        </w:rPr>
        <w:t>maintain our position that the complaint lacks merit, and we are committed to vigorously defending ourselves. However, it's important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 xml:space="preserve">acknowledge </w:t>
      </w:r>
      <w:r>
        <w:rPr>
          <w:rFonts w:ascii="Times New Roman" w:cs="Times New Roman" w:eastAsia="Times New Roman" w:hAnsi="Times New Roman"/>
          <w:sz w:val="18"/>
          <w:szCs w:val="18"/>
          <w:color w:val="000000"/>
        </w:rPr>
        <w:t>that any current or potential future legal actions against us may result in settlements, awards, injunctions, fines, penalties or other adverse</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outcome. Predicting the outcome of such matters is inherently difficult, particularly where claims are brought on behalf of various classes of claimants or by a large number of claimants, when claimants seek substantial or unspecified damages or when investigations or legal proceedings are at an early stage. A substantial judgment, settlement, fine or penalty could be material to our operating results or cash flows for a particular period, depending on our results for that period, or could cause us significant reputational harm, which could harm our business prospects. In market downturns, the volume of legal claims and amount of damages sought in litigation and regulatory proceedings against securities brokerage companies have historically increased. We are also subject to litigation claims from third parties alleging infringement of their intellectual property rights. Also see Item 3.D “Risk Factors - Risks Related to Our Business and Industry-We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intellectual property claims from others and applicable administrative penalties.” Such litigation can require the expenditure of significant resources, regardless of whether the claims have merit. If we were found to have infringed a third-party patent or other intellectual property right, then we could incur substantial liability and in some circumstances could be enjoined from using the relevant technology or providing related products and services, which could have a material adverse effect on our business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require our employees to frequently interact with our existing and potential customers. Although we have prudent internal procedures and policies in place and we monitor employees’ interaction with existing and potential customers through our customer relations management system, or our CRM system, it is difficult to detect and deter misconducts and inappropriate behaviors of all of our employees and the precautions we take to prevent and detect such behaviors may not be effective in all cases. Our employees could misappropriate customer information, conduct improper activities on behalf of our customers, make false or misleading statements, falsely promise investment returns to attract customers to trade, mis-record or otherwise try to hide improper activities from 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Misconduct by our employees or former employees could give rise to customer claims against us, including claims for negligence, fraud, failures to supervise, breaches of fiduciary duty, transactions and intentional misconduct. These customer claims, regardless of their merits, could subject us to substantial losses and seriously harm our reputation. In addition, such customer claims may escalate into litigations or arbitrations. The outcome of any arbitration or litigation is inherently uncertain, and defending against these claims could be both costly and time-consuming, and could significantly divert the efforts and resources of our management and other personnel. A judgment against us in any such litigation could incur financial and reputation damage on our business. Even if we prevail in such litigation or arbitration, we could incur significant legal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risks related to our business and operation.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maintain certain insurance for Tiger Brokers (NZ) Limited in New Zealand and UP Fintech Holding Limited in Cayman Islands such as professional liability insurance, directors’ and officers’ insurance, and for Tiger Brokers (NZ) Limited, there is no assurance that our insurance coverage will be adequate to cover potential losses. In addition, customers of our consolidated accounts are not protected under the scheme of the Securities Investor Protection Corporation, or the SIPC, and we have neither purchased any commercial insurance to cover similar risks. Under the applicable laws and regulations in the relevant jurisdictions such as New Zealand, the United States, Singapore and China, we are not required to, and we do not, maintain any insurance in relation to our business operations, such as data security insurance, business interruption insurance, or liability insurance against liabilities arising from customer complaints and litigation or other aspects of our business. Our current insurance policies may not protect us against such losses and liabilities.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our insurance coverage is in line with industry practice in the relevant jurisdictions such as New Zealand, the United States, Singapore and China, if any of the incidents mentioned above occur and we have insufficient insurance to cover the liabilities associated with such incidents, it could have a material adverse effect on our financial condition, results of operations and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customers reach us on social media platforms, leading to our difficulties in maintaining all required communication records.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relevant laws and regulations, we are required to keep the records of our communications with customers concerning orders or complaints. To ensure all of our users and customers are best served, we occasionally provide customer service on popular social media platforms in a similar way as other market players in both our industry and other various industries. However, we cannot solve all the difficulties arising therefrom because the social media platforms usually do not have functions that telephone or email operation systems use for keeping the communication records long term. Non-compliance with these requirements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services may subject us to additional risks.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implement new lines of business or offer new services within existing lines of business. For example, we commenced futures trading in March 2016 and our IPO underwriting business experienced significant growth in 2021, and we have expanded our businesses into other areas. There are substantial risks and uncertainties associated with these efforts, particularly in instances where the markets are not fully developed. In developing and marketing new lines of business and/or new services, we may invest significant time and resources. Initial timetables for the introduction and development of new lines of business and/or new services may not be achieved and profitability targets may not prove feasible. External factors, such as compliance with regulations, competition and shifting market preferences, may also impact the successful implementation of a new line of business or a new service. Our personnel and technology systems may fail to adapt to the changes in such new areas or we may fail to effectively integrate new services into our existing operation and we may lack experience in managing new lines of business or new services. In addition, we may be unable to proceed our operation as planned or compete effectively due to different competitive landscapes in these new areas. Even if we expand our businesses into new jurisdictions or areas, the expansion may not yield intended profitable results. Any new line of business and/or new service could have a significant impact on the effectiveness of our internal control system. Furthermore, expansion of our existing lines of business and entry into new lines of business may expose us to additional litigation risk, including the risk of class-action litigation. Failure to successfully manage these risks in the development and implementation of new lines of business or new services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expanding our international operations, which exposes us to significant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our international services and customer base. Expansion into new markets will require significant management attention and financial resources worldwide. Additionally, we will be exposed to additional regulatory, operational, market, litigation, and publicity risks. In addition to those risks described under the heading “Any future change in the regulatory and legal regime for the securities brokerage industry may have a significant impact on our business model,” we will be exposed to additional risks as a result of doing business internationally, including:</w:t>
      </w:r>
    </w:p>
    <w:p>
      <w:pPr>
        <w:spacing w:after="0" w:line="180"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infrastructure and legal compliance costs associated with numerous international locations;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corporate culture resulting from a dispersed workforce;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a wider array of regulatory requirements, including without limitation regulations relating to currency and capital, transfers of funds, taxation, privacy and protection of customer data, broker-dealer requirements, and intellectual property;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Foreign Corrupt Practices Act of 1977, or FCPA;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developments, including unrest or economic instability, in a specific country or region in which we operate, which could have an adverse impact on our operations in that location.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failure to manage any of these risks successfully could harm our planned international expansion and adversely affect our business, operating results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our margin financing and securities lending business as expected and may be exposed to credit risks related to these businesses. In addition, we need adequate funding at reasonable costs to successfully operate our margin financing business, and access to adequate funding at reasonable costs cannot be assured.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margin financing and securities lending businesses may not develop as expected if clients fail to perform contractual obligations or the value of collateral held to secure the obligations is inadequate. We have adopted comprehensive internal policies and procedures designed to manage such risks. For example, once the margin value falls below the outstanding amount of the relevant loan extended as a result of a market downturn or adverse movement in the prices of the pledged securities, we will make a margin call requesting the client to deposit additional funds, sell securities or pledge additional securities to top up their margin value. If the client’s margin value still falls below the required standard, we will initiate our liquidation protection mechanism on a real-time basis to bring the client’s account into margin compliance. Nevertheless, we cannot assure you that we will not be exposed to any credit risks associated with our margin financing and securities lending businesses, and we may experience disputes with our clients after we make the margin calls. In particular, we may not always be able to fully recover the margin value through margin calls and our exposure to credit loss may be exacerbated during periods of high market volatility.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growth and success of our margin financing business depend on the availability of adequate funding to meet our client demand for loans through our platform. We provided margin financing service for securities listed on the Hong Kong Stock Exchange, Singapore Exchange and the major stock exchanges in the U.S., and we provided securities lending services for securities listed on the Hong Kong Stock Exchange and the major stock exchanges in the U.S. We derive the funding for our margin financing business from a variety of sources, including funding secured from commercial banks, other licensed financial institutions and other parties as well as financing generated from our business operations. To the extent there is insufficient funding from institutional funding partners who are willing to accept the credit risk related to the collateral from our clients, the funds available for our margin financing business might be limited and our ability to provide margin financing services to our clients to address their demand for loans would be adversely impacted. In addition, as we strive to offer our clients competitively priced services and the online brokerage market is intensely competitive, we may attempt to further reduce our interest expenses from our funding partners. If we cannot continue to maintain our relationship with these funding partners and obtain adequate funding at reasonable costs, we may not be able to continue to offer or grow our margin financing business. To the extent that our funding partners find the risk-adjusted returns with us less attractive, we may not be able to obtain the requisite level of funding at reasonable costs, or at all. If we are unable to provide our clients with margin loans or fund the loans on a timely basis due to insufficient funding or less favorable pricing compared to those of our competitors, it would harm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wealth management products that we offer involve various risks and failure to identify or fully appreciate such risks may negatively affect our reputation, client relationships, results of operations and financial conditions. In addition, we rely on a limited number of wealth management product providers.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clients access to money market, fixed income, equity, balanced, private funds as well as bonds, catering to different investment targets and risk preferences of our clients. These products often have complex structures and involve various risks, including default risks, interest risks, liquidity risks, market risks, counterparty risks, fraud risks and other risks. In addition, we are subject to regulations in relation to wealth management products offering in different jurisdictions, and there is no assurance that our operation will be deemed as in full compliance with such regulations at all times.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in offering our wealth management products and services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If we fail to identify and fully appreciate the risks associated with the financial products we offer, or fail to disclose such risks to our clients, or if our clients suffer financial losses or other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damages resulting from the financial products we offer, our reputation, client relationships, results of operations and financial conditions will be materially and adversely affected.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limited number of third parties who provide us with wealth management products, and our relationships with these product providers are integral to the smooth operation of our wealth management business. If our relationships with third-party service providers deteriorate or third-party service providers decide to terminate our respective business relationships for any reasons, such as to work with our competitors on more exclusive or favorable terms or if they themselves become our competitors, our operation may be disrupted.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subject to transfer pricing adjustments by competent authorities.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transfer pricing arrangements to account for business activities among our subsidiaries in different jurisdictions. There is no assurance that the tax authorities in any of the jurisdictions where we operate would not subsequently challenge the appropriateness of our transfer pricing arrangements or that the relevant regulations or standards governing such arrangements will not be subject to future changes. If a competent tax authority later finds that the transfer prices and the terms that we have applied are not appropriate, such authority may require us or our subsidiaries to re-assess the transfer prices and re-allocate the income or adjust the taxable income. Any such reallocation or adjustment could result in a higher overall tax liability for us and may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rapid growth.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growth of our business during our limited operation history has placed significant demands on our management and other resources. As we grow, we may also need to enhance the reliability and scalability of our proprietary technology, network infrastructure and other aspects of our IT systems. We may need to hire additional professionals in such areas as sales and marketing, customer support and risk management as well as other personnel to serve the enlarged customer base. Implementation of new business arrangements, expansion of technology infrastructure and increase in the number of employees may further increase our operational complexity and impose higher standards on every aspect of our operations. Our management team may fail to effectively cope with the increased operational complexity, and we may fail to integrate new resources into our existing operation system. Therefore, we may not be able to maintain current growth rate or manage our growth effectively.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terrorist attacks and other outbreaks, which could significantly disrupt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occurrence, especially in the regions and cities where we have business, of unforeseen or catastrophic events, including the emergence of a pandemic such as COVID-19 or other widespread health emergencies, terrorist attacks or natural disasters, could create economic and financial disruptions, lead to operational difficulties that could impair our ability to manage our businesses, and expose our business activities to significant losses. Our management team are principally located in Beijing, China; Auckland, New Zealand; the United States and Singapore. A significant portion of our technical research and development, customer service, support teams are based in Beijing, China. Most of our data centers are located in Hong Kong and Beijing, China. Although we have recovery and business continuity plans for our data centers, we cannot guarantee that these plans would be adequate to mitigate the adverse effects to our sustainable operations caused by such unforeseen or catastrophic events. In addition, the major stock exchanges our operations rely on are in the U.S. and Hong Kong. Our operations could also be severely disrupted if the exchanges we operate on were affected by natural disasters, health epidemics or man-caused disasters. An unforeseen or catastrophic event in any of the regions mentioned above could adversely impact our operations. Some measures caused by COVID-19 such as working remotely, travel restrictions and extra health precaution etc. did affect the efficiency of work and several ongoing internal projects in 2020 through 2022; however, our daily operations were not affected as we operated online and we also increased our resources to mitigate the impact.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cash flows and financial condition could be affected by the effects of climate change, including severe weather and other geological events in the locations where our customers, suppliers or regulators operate.</w:t>
      </w:r>
    </w:p>
    <w:p>
      <w:pPr>
        <w:spacing w:after="0" w:line="159"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Climate change may cause severe and volatile weather and other geological events, including hurricanes, earthquakes, wildfires, rising sea levels, floods, increased heat index, droughts, or tsunamis, that could disrupt our operations or the operations of our customers, suppliers, data service providers and regulators. The frequency and severity of these events may increase over time. Natural disasters or other disruptions at any of our facilities or our suppliers’ facilities,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We also cannot provide assurance that we will be able to obtain sufficient insurance to protect our business from these risks at a favorable price or at all. Any serious disruption to our operations, or those of our customers, suppliers, data service providers, or regulators, could have a material adverse effect on our results of operations, cash flows and financial condition.</w:t>
      </w:r>
    </w:p>
    <w:p>
      <w:pPr>
        <w:spacing w:after="0" w:line="188"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Climate change may also have a negative impact on the financial condition of our customers, which may decrease revenues from those customers and increase the credit exposures to those customers. This effect would be amplified if a region in which a large number of our customers are based is affected. Additionally, our reputation and customer relationships may be negatively impacted by our involvement, or our customers’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transitioning to a low-carbon economy will likely require extensive policy, legal, technology and market changes. Transition risks, including changes in consumer preferences and additional regulatory and legislative requirements, including carbon taxes, could increase our expenses and adversely impact our strategies and those of our customers, which could lead to a decrease in our customer account balances.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operations in particular are unclear. Environmental regulations or changes in the supply, demand or available sources of energy or other resources may affect the availability, cost, or demand for goods and services and may increase the costs of our supplies, power and other infrastructure services on which we rely to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related to, and our relationships with, our service providers and/or former shareholders could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affected by publicity relating to our service providers and/or shareholders. For example, in September 2018, there was negative publicity involving certain senior officers of iResearch, the industry consultant we commissioned to prepare an industry report in connection with our initial public offering. According to a public announcement made by iResearch, certain senior officers of iResearch are cooperating with governmental investigations in China. Although we were informed by iResearch that its department involved in such negative media coverage did not provide data for the preparation of the iResearch Report, such publicity may raise questions as to the integrity of the industry data or opinions produced by iResearch, including the data in the iResearch Report produced in connection with our initial public offering, or otherwise have a negative impact on our reputation.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and regulatory tensions between the U.S. and China, and on a larger scale internationally, may dampen growth in China and other markets where the majority of our customers reside, and our activities and results may be negatively impacted.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the U.S. government began imposing new or higher tariffs on specified products imported from China to penalize China for what it characterizes as unfair trade practices, and China responded by imposing new or higher tariffs on specified products imported from the U.S. While the U.S. and China signed an agreement in January 2020 to ease some of these tariffs, others remain in place, and additional tariffs or other regulatory requirements or restrictions could be imposed by one or both countries in the future. Although we are not currently subject to the existing tariff measures, such tariffs, future tariffs, or other regulatory actions may adversely affect the economic growth in China and other markets and the financial condition of our customers. Any potential decrease in the spending powers of our target customers could result in a negative impact on our operations. In addition, the current and future actions or escalations by either the U.S. or China that affect trade relations may cause global economic turmoil and potentially have a negative impact on our business, financial condition and results of operations, and we cannot provide any assurance as to whether such actions will occur or the form that they may take.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economic, political and social conditions as well as government policies could adversely affect our business and prospects.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mainly conduct our brokerage operations in New Zealand and conduct technology research and development in China through our PRC subsidiaries, the VIEs and their subsidiaries. Because technology development is our key backbone for our operations in a long run, our financial condition and results of operations are subject to influences from PRC’s economic, political and social conditions to a great extent. The PRC economy differs from the economies of most developed countries in many aspects, including, but not limited to, the degree of government involvement, control of capital investment, control of foreign exchange, allocation of resources, growth rate and development level.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approximately three decades, the PRC government has implemented economic reform measures to utilize market forces in the development of the PRC economy. We cannot predict whether changes in the PRC’s economic, political and social conditions and in its laws, regulations and policies will have any adverse effect on our current or future business, financial condition or results of operations. In addition, many of the economic reforms carried out by the PRC government are unprecedented or experimental and are expected to be refined and improved over time. This refining and improving process may not necessarily have a positive effect on our operations and business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penalties for failure to fully comply with the NDRC and the MOFCOM filing requirements for historical overseas investments.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before we established our offshore holding structure, our PRC operating entity, Beijing Rongke, had established Tiger Technology Corporation Limited, or Tiger Technology, in Hong Kong, which thereafter acquired our New Zealand registered companies, Tiger Brokers (NZ) Limited, and Tiger Holdings Group Limited, or Tiger Holdings. Under the applicable PRC laws and regulations, PRC entities need to obtain approvals from or file with the National Development and Reform Commission, or the NDRC and the Ministry of Commerce, or the MOFCOM, or their local branches before conducting any overseas investments, and are also required to apply for additional approvals or file or make certain amendments if any change occurs to such overseas investments. Beijing Rongke has filed with the relevant branch of the MOFCOM for investing in Tiger Technology, but failed to update such filing for Tiger Technology’s further investments in Tiger Brokers (NZ) Limited and Tiger Holdings. It also failed to file with the NDRC for the overseas investment as required under then effective PRC laws. Failure to conduct such filing procedures may subject us to an order of suspension of Beijing Rongke’s investment in Tiger Technology, and may result in the inability for Beijing Rongke to enjoy relevant policy favors for three years. As of the date of this report, we have not received any rectification requirements or penalties from the NDRC or the MOFCOM. In addition, we have taken certain rectification measures. For instance, we have recently transferred all equity interest in Tiger Brokers (NZ) Limited from Tiger Technology to our Singapore subsidiary, Tiger Fintech (Singapore) Pte. Ltd. for commercial needs, and we have de-registered our filing with MOFCOM and are in the process of liquidation of Tiger Technology as rectification measures. However, we cannot assure you that these rectifications will fully satisfy the relevant regulatory authorities’ requirements or we will not be subject to investigation or scrutiny from regulators even though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not yet received any negative opinion or penalty for our historical overseas investments so far. If the NDRC or the MOFCOM imposes any penalties on us or requires us to make any further rectifications, our business and results of operations may be materially and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Labor Contract Law of the People’s Republic of China, or the PRC Labor Contract Law, and other labor-related regulations in the PRC may increase our labor costs and impose limitations on our labor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2007, the Standing Committee of the National People’s Congress, or the SCNPC, in China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subject to certain exceptions. The employer must pay economic compensation to an employee where a labor contract is terminated or expires in accordance with the PRC Labor Contract Law, except for certain situations which are specifically regulated. In addition, the government has issued various labor-related regulations to further protect the rights of employees. According to such laws and regulations, employees are entitled to an annual leave ranging from 5 to 15 days and are able to be compensated for any untaken annual leave days due to the employer’s reason in the amount of three times of their daily salary.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these regulations, which are designed to enhance labor protection, we expect our labor costs to increase, as the continued success of our business depends significantly on our ability to attract and retain qualified personnel. In the event that we decide to change our employment or labor practices, the PRC Labor Contract Law and its implementation rules may also limit our ability to affect those changes in a manner that we believe to be cost-effective. In addition, as the interpretation and implementation of these new regulations are still evolving, our employment practices may not be at all times deemed in compliance with the new regulations. If we are subject to severe penalties or incur significant liabilities in connection with labor disputes or investigations, our business and financial condition may be adversely affected.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on December 28, 2012, the PRC Labor Contract Law was amended to impose more stringent requirements on labor dispatches, and such amendments became effective on July 1, 2013. For example, the number of dispatched contract workers that an employer hires may not exceed a certain percentage of the total number of employees to be decided by the Ministry of Human Resources and Social Security, and the dispatched contract workers can only engage in temporary, auxiliary or substitute work. According to 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or the Interim Provisions, promulgated by the Ministry of Human Resources and Social Security on January 24, 2014, which became effective on March 1, 2014, the number of dispatched contract workers hired by an employer shall not exceed 10% of the total number of its employees (including both directly hired employees and dispatched contract workers). The Interim Provisions further requires the employer that is not in compliance with the above provisions to formulate a plan to reduce the number of its dispatched contract workers to below 10% of the total number of its employees prior to March 1, 2016. Such limitations on use of dispatched labor may increase our labor costs and impose limitations on our employment practices, which may adversely affect our business and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the PRC regulations may subject us to penalties.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government-sponsored employee benefit plans, including certain social insurances,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Our PRC operating entities incorporated in various locations in China have not made adequate employee benefit payments and we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accruals for estimated underpaid amounts in our financial statements. We may be required to make up the contributions for these plans as well as to pay late fees and fines.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Regulators may impose penalties and fines with respect to shortfall in social insurance payment. A late payment fee at the rate of 0.05% per day of the outstanding amount from the due date may be imposed, and if such amounts remain outstanding beyond a prescribed time limit, a fine of one to three times of the outstanding amount may be imposed. While there are no explicit quantitative statutory fines or penalties on late payments of housing funds according to Regulations on the Housing Provident Fund (Revised in 2019), the housing accumulation fund management center may order us to pay any housing fund shortfalls immediately. In addition, if we become subject to any fines or penalties in relation to the underpaid employee benefits, our financial condition and results of operations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on Issues Concerning the Foreign Exchange Administration for Domestic Individuals Participating in Stock Incentive 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Publicly Listed Company</w:t>
      </w:r>
      <w:r>
        <w:rPr>
          <w:rFonts w:ascii="Times New Roman" w:cs="Times New Roman" w:eastAsia="Times New Roman" w:hAnsi="Times New Roman"/>
          <w:sz w:val="18"/>
          <w:szCs w:val="18"/>
          <w:color w:val="auto"/>
        </w:rPr>
        <w:t>, issued by the SAFE in February 2012, employees, directors, supervisors and other senior management participating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 incentive plan of an overseas publicly listed company who are PRC citizens or who are non-PRC citizens residing in China for a continuous period of not less than one year, subject to a few exceptions, are required to register with the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became subject to these regulations since our company became an overseas listed company. Failure to complete the SAFE registrations may subject them to fines and legal sanctions and may also limit our ability to contribute additional capital into our wholly foreign-owned subsidiaries in China. We also face regulatory uncertainties that could restrict our ability to adopt additional incentive plans for our directors and employees under PRC law.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or the SAT, has issued certain circulars concerning employee share options or restricted shares. Under these circulars, the employees working in the PRC who exercise share options or are granted restricted share units will be subject to PRC individual income tax. The PRC subsidiaries of such an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in compliance with relevant laws and regulations, the PRC subsidiaries may face sanctions imposed by the tax authorities or other PRC government authorities.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EIT Law that took effect on January 1, 2008, enterprises established outside of China whose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are located in China are considered to be “resident enterprises” and will generally be subject to a uniform 25% corporate income tax on their global income (excluding dividends received from “resident enterprises”). In addition, a circular issued by SAT on April 22, 2009 and amended on January 29, 2014 sets out certain standards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an offshore enterprise funded by Chinese enterprises as controlling shareholders is located in China. Although this circular applies only to offshore enterprises funded by Chinese enterprises as controlling shareholders, rather than those funded by Chinese or foreign individuals or foreign enterprises as controlling shareholders (such as our company), the determining criteria set forth in the circular may reflect SAT’s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test should be applied in determining the tax resident status of offshore enterprises, regardless of how they are funded. Although our company is not funded by Chinese enterprises as controlling shareholders, substantial uncertainties remain as to whether our company or any of our other non-PRC entities will be deemed a PRC resident enterprise for the EIT purposes. If we or any of our subsidiaries registered outside the PRC are to be deemed a “resident enterprise” under the EIT Law, our income tax expenses may increase significantly, and our profitability could decrease materially.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Circular on issues of enterprise Income Tax on Indirect Transfer of Assets by Non-PRC Resident Enterprise</w:t>
      </w:r>
      <w:r>
        <w:rPr>
          <w:rFonts w:ascii="Times New Roman" w:cs="Times New Roman" w:eastAsia="Times New Roman" w:hAnsi="Times New Roman"/>
          <w:sz w:val="18"/>
          <w:szCs w:val="18"/>
          <w:color w:val="auto"/>
        </w:rPr>
        <w:t>, or the SAT Circular 7 pursuant to which if a non-resident enterprise transfers the equity interests of a PRC resident enterprise indirectly by transfer of the equity interests of an offshore holding company (other than prescribed exempted situations including the purchase and sale of shares in public securities market) without a reasonable commercial purpose, the PRC tax authorities have the power to reassess the nature of the transaction and the indirect equity transfer might be treated as a direct transfer. As a result, the gain derived from such transfer, that is attributable to the PRC taxable properties will be subject to the PRC withholding tax at a rate of 10%. Under the SAT Circular 7, the transfer which meets all of the following circumstances shall be deemed as having no reasonable commercial purpose: (i) over 75% of the value of the equity interests of the offshore holding company are directly or indirectly derived from PRC taxable properties; (ii) at any time during the year before the indirect transfer, over 90% of the total properties of the offshore holding company are directly or indirectly constituted by investments within PRC territory, or in the year before the indirect transfer, over 90% of the offshore holding company’s total income is directly or indirectly derived from within PRC territory; (iii) the function performed and risks assumed by the offshore holding company and its subsidiaries that directly or indirectly hold PRC taxable properties are insufficient to substantiate its economic substance; or (iv) the foreign income tax imposed on the indirect transfer is lower than the PRC tax that may be imposed in the event of a direct transfer of the PRC taxable properties.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SAT Circular 7 and its interpretation by relevant PRC authorities clarify that an exemption is available for transfers of shares in a publicly-traded entity that is listed overseas if the purchase of the shares and the sale of the shares both take place in the open market. However, if a shareholder of an entity that is listed overseas purchases shares in the open market and sells them in a private transaction, or purchases shares in a private transaction and sells them in the open market, the PRC tax authorities might deem such a transfer to be subject to the SAT Circular 7, which could subject such shareholder to additional reporting obligations or tax burdens. Accordingly, if a holder of our shares or ADSs purchases our shares or ADSs in the open market and sells them in a private transaction, or purchases our shares or ADSs in a private transaction and sells them in the open market, and fails to comply with the SAT Circular 7, the PRC tax authorities may take actions, including requesting us to provide assistance for their investigation or impose a penalty on us, which could have a negative impact on our business operations. In addition, since we may pursue acquisitions as one of our growth strategies, and may conduct acquisitions involving complex corporate structures, the PRC tax authorities might impose taxes on capital gains or request that we submit certain additional documentation for their review in connection with any potential acquisitions, which may incur additional acquisition costs, or delay our acquisition timetable.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tax authorities have discretion under the SAT Circular 7 to make adjustments to the taxable capital gains based on the difference between the fair value of the equity interests transferred and the cost of investment. We may pursue acquisitions in the future that involve complex corporate structures. If we are considered a non-resident enterprise under the EIT Law and if the PRC tax authorities make adjustments to the taxable income of these transactions under the SAT Circular 7, our income tax expenses associated with such potential acquisitions will be increased, which may have an adverse effect on our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may be affected by such defects, which could cause significant disruption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applicable PRC laws and regulations, all lease agreements are required to be registered with the local housing authorities. The landlords of certain of our leased premises in China may have not completed the registration of their ownership rights or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which will incur the associated losses and adversely affect our normal business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settlement reached between the SEC and the Big Four PRC-based accounting firms (including the Chinese affiliates of our independent registered public accounting firms), concerning the manner in which the SEC may seek access to audit working papers from audits in China of U.S.-listed companies, is not or cannot be performed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 manner acceptable to authorities in China and the United States, we could be unable to timely file future financial statements in compliance with the requirements of the Exchange Act.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mainland Chinese affiliates of the “Big Four” accounting firms (including the mainland Chinese affiliate of our independent registered public accounting firm). A first instance trial of the proceedings in July 2013 in the SEC’s internal administrative court resulted in an adverse judgment against the firms. The administrative law judge proposed penalties on the Chinese accounting firms including a temporary suspension of their right to practice before the SEC, although that proposed penalty did not take effect pending review by the Commissioners of the SEC. On February 6, 2015, before a review by the Commissioner had taken place, the Chinese accounting firms reached a settlement with the SEC whereby the proceedings were stayed. Under the settlement, the SEC accepted that future requests by the SEC for the production of documents would normally be made to the CSRC. The Chinese accounting firms would receive requests matching those under Section 106 of the Sarbanes-Oxley Act of 2002, and would be required to abide by a detailed set of procedures with respect to such requests, which in substance would require them to facilitate production via the CSRC. The CSRC for its part initiated a procedure whereby, under its supervision and subject to its approval, requested classes of documents held by the accounting firms could be sanitized of problematic and sensitive content so as to render them capable of being made available by the CSRC to U.S. regulators.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settlement, the underlying proceeding against the four PRC-based accounting firms was deemed dismissed with prejudice at the end of four years starting from the settlement date, which was on February 6, 2019. Despite the final ending of the proceedings, the presumption is that all parties will continue to apply the same procedures: i.e. the SEC will continue to make its requests for the production of documents to the CSRC, and the CSRC will normally process those requests applying the sanitization procedure. We cannot predict whether, in cases where the CSRC does not authorize production of requested documents to the SEC, the SEC will further challenge the four PRC-based accounting firms’ compliance with U.S. law. If additional challenges are imposed on the Chinese affiliates of the “big four” accounting firms, we could be unable to timely file future financial statements in compliance with the requirements of the Exchange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accounting firms may cause investor uncertainty regarding China-based, United States-listed companies and the market price of our ADSs may be adversely affected.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the Chinese affiliate of our independent registered public accounting firms was denied, even temporarily, the ability to practice before the SEC and we were unable to timely find another registered public accounting firms to audit and issue an opinion on our financial statements, our financial statements could be determined not to be in compliance with the requirements of the Exchange Act. Such a determination could ultimately lead to the delisting of our ADSs from the Nasdaq Global Select Market or deregistration from the SEC, or both, which would substantially reduce or effectively terminate the trading of our ADSs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 and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our ADSs are likely to be volatile, which could result in substantial losses to investors.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prices of our ADSs have been and are likely to continue to be volatile and have fluctuated and may continue to fluctuate widely due to factors beyond our control. This may happen because of broad market and industry factors, like the performance and fluctuation in the market prices or the underperformance or deteriorating financial results of other similarly situated companies that have listed their securities in the U.S. in recent years. The securities of some of these companies have experienced significant volatility since their initial public offerings, including, in some cases, substantial price declines in the trading prices of their securities. The trading performances of these companies’ securities after their offerings may affect the attitudes of investors toward such companies listed in the United States, which consequently may affect the trading performance of our ADSs, regardless of our actual operating performance. In addition, securities markets may from time to time experience significant price and volume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that are not related to our operating performance, such as the large decline in share prices in the United States and other jurisdictions. For example, the recent coronavirus pandemic and the recent volatility in oil prices have had a significant negative impact on securities market prices and contributed to increased volatility. These and other factors may continue to affect the broader securities markets and, consequently, our business and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16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and service offerings, investments, acquisitions, strategic partnerships, joint ventures, or capital commitments by us or our competitors;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 of our company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our users and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metrics;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on our part to realize monetization opportunities as expected;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management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regarding governmental or regulatory developments or focus that may affect our industry or us specifically;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affecting us or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litigations or regulatory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the price at which our ADSs will trade. In the past, shareholders of a public company often brought securities class action suits against the listed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grant additional employee share options and other share-based compensation awards in the future. Any additional grant of employee share options and other share-based compensation awards in the future may have a material adverse effect on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and may adopt employee share option plans for the purpose of granting share-based compensation awards to our employees, officers, directors and other eligible persons to incentivize their performance and align their interests with ours. For more information on these share incentive plans, see Item 6. B “Compensation-2018 Share Incentive Plan” and “-2019 Performance Incentive Plan.” As a result of these grants and potential future grants, we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 to continue to incur significant share-based compensation expenses in the future. The amount of these expenses is based on the fair value of the share-based awards. We account for compensation costs for all share options using a fair-value-based method and recognize expenses in our combined and consolidated statements of comprehensive income and other comprehensive income in accordance with U.S. GAAP. The expenses associated with share-based compensation will decrease our profitability, perhaps materially, and the additional awards issued under share-based compensation plans will dilute the ownership interests of our shareholders, including holders of our ADSs. However, if we limit the scope of our share-based compensation plan, we may not be able to attract or retain key personnel who expect to be compensated by such share-based awards.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investors may experience dilution if we issue additional shares or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 the past issued additional equity or securities convertible into equity, and we may do so again in the future. In 2021, we completed a follow-on public offering of 6,500,000 of our ADSs, at a public offering price of US$24.5 per ADS, each representing 15 of our Class A ordinary shares. Additionally, in 2021 we offered and sold an aggregate of US$155.0 million principal amount of convertible notes which may be converted into our ADSs. The issuance of additional equity, including pursuant to the conversion of our outstanding convertible notes, would result in further dilution to our shareholders and may result in a decline in the market value of our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and other expenses as a result of our becoming a public company. The Sarbanes-Oxley Act, as well as rules subsequently implemented by the SEC and Nasdaq, imposes various requirements on the corporate governance practices of public companies. These rules and regulations increase our legal and financial compliance costs and make some corporate activities more time-consuming and costly. Additionally, now that we are no longer an “emerging growth company,” we have incurred and expect to incur significant expenses and devote substantial management effort toward ensuring compliance with the requirements of Section 404 of the Sarbanes-Oxley Act and the other rules and regulations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There were 135,715,622 ADSs (equivalent to 2,035,734,330 Class A ordinary shares) outstanding as of March 31, 2024. We may also issue additional options in the future that may be exercised for additional Class A ordinary shares. We cannot predict what effect, if any, market sales of securities held by our significant shareholders or any other shareholder or the availability of these securities for future sale will have on the market price of our ADSs.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limits investors’ ability to influence corporate matters and could discourage others from pursuing any change of control transactions.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maintain a dual-class share structure such that our ordinary shares consist of Class A ordinary shares and Class B ordinary shares. In respect of matters requiring the votes of shareholders, a holder of Class B ordinary shares is entitled to 20 votes per share, while holders of Class A ordinary shares are entitled to one vote per share based on our dual-class share structure. Each Class B ordinary share is convertible into one Class A ordinary share by the holder thereof, subject to certain conditions, while Class A ordinary shares are not convertible into Class B ordinary shares under any circumstances. Upon any sale of Class B ordinary shares by a holder thereof to any person other than Mr. Tianhua Wu or any entity which is not a permitted affiliate to Mr. Tianhua Wu, such Class B ordinary shares are automatically and immediately converted into the same number of Class A ordinary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Tianhua Wu and his family beneficially own all of our issued Class B ordinary shares. As of March 31, 2024, these Class B ordinary shares constitute 3.89% of our total issued and outstanding share capital and 55.48% of the aggregate voting power of our total issued and outstanding share capital due to the disparate voting powers associated with our dual-class share structure. See Item 7.A “Major Shareholders.” As a result of the dual-class share structure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limits holders of our Class A ordinary shares and ADSs ability to influence corporate matters and could discourage others from pursuing any potential merger, takeover or other change of control transactions that holders of Class A ordinary shares and ADSs may view as beneficial.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Mr. Tianhua Wu’s control of our Class B ordinary shares, Mr. Wu will effectively control the outcome of shareholder actions in our company and may take actions that might not be beneficial to holders of our Class A ordinary shares or ADSs.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holds the voting rights attached to all of our Class B ordinary shares and to all of the options or restricted share units awarded under the 2018 Share Incentive Plan, 2019 Performance Incentive Plan and Amended and Restated 2019 Performance Incentive Plan. As each Class B ordinary share entitles its holder to 20 votes per share, such Class B ordinary shares in the aggregate represent approximately 44.76% of the combined total voting rights in our company. Mr. Wu’s Class A and Class B ordinary shares give him the power to control any actions that require shareholder approval under Cayman Islands law, our memorandum and articles of association, and the Nasdaq requirements. Mr. Wu could have sufficient voting rights to determine the outcome of all matters requiring shareholder approval even if he should, at some point in the future, hold considerably less than a majority of the combined total of our outstanding ordinary shares. Mr. Wu’s voting power may prevent a transaction involving a change of control of us, including transactions in which holders of our Class A ordinary shares or ADSs might otherwise receive a premium for securities over the then-current market price. Similarly, Mr. Wu may approve a merger or consolidation of our company which may result in holders of our Class A ordinary shares or ADSs receiving a stake (either in the form of shares, debt obligations or other securities) in the surviving or new consolidated company which may not operate our current business model and dissenter rights may not be available to such holders in such an event.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Exchange Act and therefore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 but not limited to:</w:t>
      </w:r>
    </w:p>
    <w:p>
      <w:pPr>
        <w:spacing w:after="0" w:line="20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in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investors may not avail themselves of the same information or protection that would be available to investors in a U.S. domestic issuer.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organized under the laws of a non-U.S. country, it may be more difficult for investors and regulators to bring actions against us and our officers and directors.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organized under the laws of the Cayman Islands, and many of our subsidiaries are organized under the laws of other jurisdictions outside the United States, including the PRC, Hong Kong, New Zealand, Singapore, and Australia. Because we and many of our subsidiaries are not U.S. companies and carry out a majority of our operations outside the United States, it may be more difficult for investors and regulators to bring suits against us and our management, including class action securities law and fraud claims, than it would be to bring claims against a U.S.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with ADSs listed on the Nasdaq Global Select Market, we follow certain home country corporate governance practices instead of certain Nasdaq requirements.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company incorporated in the Cayman Islands with ADSs listed on the Nasdaq Global Select Market, we follow our home country practice instead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requirements that mandate that:</w:t>
      </w:r>
    </w:p>
    <w:p>
      <w:pPr>
        <w:spacing w:after="0" w:line="20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 comprised of a majority of independent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as defined under the Nasdaq Stock Market Rules and, as a result, can rely on exemptions from certain corporate governance requirements.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Mr. Tianhua Wu, our founder, director and chief executive officer, holds more than 50% of our total voting power. For so long as we remain as a controlled company as defined above, we are permitted to elect to, and may, rely on certain exemptions from corporate governance requirements otherwise applicable. As a result, our shareholders may not have the same protection afforded to shareholders of companies that are subject to these corporate governance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rights offerings and may experience dilution of your holdings as a result.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exempted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the registration under the Securities Act. Accordingly, holders of the ADSs may be unable to participate in our rights offerings and may experience dilution in their holdings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and our directors and officers by our shareholders may not be enforceable in our home jurisdiction.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a substantial majority of our assets are located outside of the United States. A significant percentage of our current brokerage operations are conducted in New Zealand. In addition, a significant majority of our current directors and officers are nationals and residents of jurisdictions other than the United States, including China. As a result, it may be difficult or impossible for shareholders to bring an action against us or against these individuals in the United States in the event that they believe that their rights have been infringed under the U.S. federal securities laws, including the civil liability provisions of the U.S. securities laws, or otherwise. Even if shareholders are successful in bringing an action of this kind, the laws of the Cayman Islands, New Zealand, China and other jurisdictions where we operate may render them unable to enforce a judgment against our assets or the assets of our directors and officers. There are uncertainties as to whether Cayman Islands courts would:</w:t>
      </w:r>
    </w:p>
    <w:p>
      <w:pPr>
        <w:spacing w:after="0" w:line="189"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against us, judgments of courts of the U.S. based on certain civil liability provisions of the U.S. securities laws;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liabilities against us, in original actions brought in the Cayman Islands, based on certain civil liability provisions of the U.S. securities laws that are penal in nature.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statutory recognition in the Cayman Islands of judgments obtained in the United States, although the courts of the Cayman Islands will under certain circumstances recognize and enforce a non-penal judgment of a foreign court of competent jurisdiction without retrial on the merits provided that</w:t>
      </w:r>
    </w:p>
    <w:p>
      <w:pPr>
        <w:jc w:val="both"/>
        <w:ind w:firstLine="8"/>
        <w:spacing w:after="0" w:line="253"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industry. If research analysts do not establish and maintain adequate research coverage or if the analysts who cover us downgrade our ADSs or publish inaccurate or unfavorable research about our industry, the market price for our ADSs might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holders of our ADSs do not vote at shareholders’ meetings, except under limited circumstances, which could adversely affect our ADS holders’ interests.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deposit agreement for the ADSs, if a holder of our ADSs does not give instructions for voting the Class A ordinary shares underlying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the depositary will give us a discretionary proxy to vote those Class A ordinary shares at the shareholders’ meeting unless:</w:t>
      </w:r>
    </w:p>
    <w:p>
      <w:pPr>
        <w:spacing w:after="0" w:line="20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a notice of meeting and related voting materials;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holders of our ADSs cannot prevent our Class A ordinary shares underlying their ADSs from being voted at the shareholder meeting, except under the circumstances described above. This may make it more difficult for shareholders to influence the management of our company. Holders of our Class B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may be amended or terminated without the consent of holders of our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the depositary may amend or terminate the deposit agreement without the consent of holders of our ADSs. Such amendment or termination may be done in favor of our company. Holders of our ADSs are entitled to a prior notice in the event of a materially prejudicial amendment or termination thereof. If holders continue to hold their ADSs after an amendment to the deposit agreement, they agree to be bound by the deposit agreement as amended. The deposit agreement may be terminated at any time upon a prior written notice. Upon the termination of the deposit agreement, our company will be discharged from all obligations under this deposit agreement except for its obligations to the depositary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pay dividends in the future, investors must rely on price appreciation of our ADSs for return on your investment.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may from time to time declare dividends or authorize other distributions to our shareholders, subject to certain restrictions under the Cayman Islands law, namely that our company may only pay dividends out of profits or share premium, and provided always that in no circumstances may a dividend be paid out of share premium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an investment in our ADSs will likely depend entirely upon any future price appreciation of our ADSs. There is no guarantee that our ADSs will appreciate in value or even maintain the price at which investors purchased the ADSs. Investors may not realize a return on their investment in our ADSs and may even lose their entire investment in our ADSs.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dividends or other distributions on our Class A ordinary shares and may not receive any value for them, if it is illegal or impractical to make them available to.</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we decide to pay a dividend or make other distributions in the future, the depositary of our ADSs has agreed to pay to holders of our ADSs such cash dividends or other distributions it or the custodian receives on Class A ordinary shares or other deposited securities underlying our ADSs, after deducting its fees and expenses. Holders of our ADSs will receive these distributions in proportion to the number of Class A ordinary shares their ADSs represent. However, the depositary is not responsible if it decides that it is unlawful or impractical to make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available to any holders of ADSs. For example, it would be unlawful to make a distribution to a holder of ADSs if there are securities that require the registration under the Securities Act but such securities are not properly registered or distributed under an applicable exemption from the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the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holders of our ADSs may not receive distributions we make on our Class A ordinary shares or any value for them if it is illegal or impractical to make them available to them. These restrictions may cause a material decline in the value of our ADSs.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the transfer of ADSs.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offerings when the depositary needs to maintain an exact number of ADS holders on its books for a specified period. The depositary may also close its books in emergencies, and on weekends and public holidays in the United States. The depositary may refuse to deliver, transfer or register the transfers of our ADSs generally when our share register or the books of the depositary are closed, or at any time if we or the depositary think that it is advisable to do so because of any requirement of law or of any government or governmental body, or under any provision of the deposit agreement, or for any other reason in accordance with the terms of the deposit agreement. As a result, holders of our ADSs may be unable to transfer their ADSs when they wish to under these circumstances.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including Class A ordinary shares represented by the ADSs, at a premium.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pursuant to a fourth amended and restated memorandum and articles of association. Some provisions of our fourth amended and restated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 and limit the ability of shareholders to requisition and convene general meetings of shareholders. Under Cayman Islands law, our directors may only exercise the rights and powers granted to them under our fourth amended and restated memorandum and articles of association for a proper purpose and for what they believe in good faith to be in the best interests of our company. However, these provisions could still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to U.S. investors of our ADSs or Class A ordinary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upon the value of our ADSs and Class A ordinary shares and the nature and composition of our assets and income over time, we could be classified as a passive foreign investment company, or PFIC, for U.S. federal income tax purposes. Based on the expected composition of our income and assets and the value of our assets, including goodwill, we do not expect to be a PFIC for the taxable year ending December 31, 2023. Despite our expectation, there can be no assurance that we will not be a PFIC in the current taxable year or any future taxable year as PFIC status is tested each taxable year and will depend on the composition of our assets and income and the value of our assets in each such taxable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 classified as a PFIC for any taxable year if either (i) at least 75% of our gross income for the taxable year is passive income or (ii) at least 50% of the value of our assets (based on a quarterly value of the assets during the taxable year) is attributable to assets that produce or are held for the production of passive income. Passive income generally includes interest, and cash and loans are generally considered passive assets. In determining the average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percentage value of our gross assets, the aggregate value of our assets will generally be deemed to be equal to our market capitalization (determined by the sum of the aggregate value of our outstanding equity) plus our liabilities. Accordingly, we could become a PFIC for the current or any future taxable year if our market capitalization were to decrease while we hold substantial cash, cash equivalents or other assets that produce or are held for the production of passive income such as loans to customers. In addition, we expect to increase our margin loan business (where we extend margin loans using our own capital rather than Interactive Brokers’ capital) which will increase our passive interest income. Furthermore, we could also be a PFIC if we were not treated as the owner of our consolidated affiliated entities for U.S. tax purposes. Because there are uncertainties in the application of the relevant PFIC rules, it is possible that the Internal Revenue Service, or IRS, may challenge our classification of certain income and assets as non-passive or our valuation of our tangible and intangible assets, which could result in a determination that we were a PFIC for the current or subsequent taxable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a PFIC in any taxable year in which a U.S. investor holds our ADSs or Class A ordinary shares, the U.S. investor would generally be subject to additional taxes and interest charges on certain “excess” distributions we make and on the gain, if any, recognized on the disposition or deemed disposition of such U.S. investor’s ADS or Class A ordinary shares, even if we are no longer a PFIC in the year of distribution or disposition. Moreover, such U.S. investor would also be subject to special U.S. tax reporting requirements. For more information on the U.S. tax consequences to certain U.S. investors that would result from our classification as a PFIC, see Item 10.E “Taxation-United States Federal Income Taxation-Passive Foreign Investment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Fintech Holding Limited, known commercially in the Asia-Pacific region as “Tiger Brokers,” is a Cayman Islands exempted company incorporated in January 2018 and operating under the Companies Law of the Cayman Islands. As of the date of this report, our authorized share capital is US$50,000 divided into 5,000,000,000 shares.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Ningxia Xiangshang Rongke Technology Development Co., LTD, or Ningxia Rongke.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Ningxia Rongke acquired a New Zealand registered financial service provider, Tiger Holdings Group Limited, formerly known as Transaction Holdings (N.I.) Limited, in August 2015. In August 2016, Ningxia Rongke acquired Tiger Brokers (NZ) Limited, also a registered financial service provider in New Zealand. Substantially all of our revenues were generated from Tiger Holdings Group Limited in 2016 and 2017, and from Tiger Brokers (NZ) Limited in 2018 and 2019. Tiger Brokers (NZ) Limited was known as Top Capital Partners Limited prior to June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IPO and Acquisition of TradeUP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foreign investment in our business, starting from early 2018, we began to establish an offshore holding structure for our company. As part of the efforts, we incorporated a Cayman Islands exempted company, UP Fintech Holding Limited, or our Company, as our offshore holding company in January 2018. In February 2018, we established Up Fintech International Limited in Hong Kong, or Up International, as our intermediate holding company, which in turn established our WFOEs, Beijing Bohu, formerly known as Ningxia Xiangshang Yixin Technology Co., LTD, or Ningxia Yixin in May 2018, and Beijing Xiangshang Yixin Technology Co., LTD, or Beijing Yixin, in July 2018.</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enable our effective control over the PRC operating entities and their subsidiaries including Tiger Brokers (NZ) Limited (at the time), Beijing Bohu entered into variable interest entity, or VIE, contractual arrangements with Beijing Rongke, and Beijing Yixin entered into substantially similar VIE arrangements with Beijing Xiangshang Yiyi Technology Co., LTD, or Beijing Yiyi, which we collectively refer to as the VIEs in this report, and their respective shareholders. These contractual arrangements enable us to exercise effective control over the VIEs and their respective subsidiaries, receive substantially all of the economic benefits of such entities, and have an exclusive option to purchase all or part of the equity interests in and assets of them to the extent permitted by the applicable laws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For more details, please see “Item 3. Key Information – Contractual Arrangements with the VIEs and Their Respective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we formed a wholly-owned subsidiary Up Fintech Global Holdings Limited in British Virgin Islands, or BVI, first as the holding company to hold our wholly-owned U.S. entity, Tiger Fintech Holdings Inc., or Tiger Fintech Holdings and later as the holding company to hold our subsidiaries in other jurisdictions. In August 2018, Tiger Fintech Holdings acquired 100% of the equity interests of Wealthn LLC, a registered investment advisor in the United States. Wealthn LLC provides investment advisory services for high-net-worth individuals, family offices and other clients. In November 2018, Tiger Fintech Holdings completed the acquisition of 100% of the equity interests in US Tiger Securities, Inc. (formerly known as JFD Securities, Inc.), a U.S. registered broker-dealer.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2018, we established another wholly-owned subsidiary Xiangshang Upfintech Holding Limited, a BVI company, to hold other licensed operating companies including its wholly-owned operating entity in Singapore, Tiger Fintech (Singapore) Pte. Ltd., which was established in March 2018. In October 2018, Ningxia Rongke transferred all equity interests in Tiger Brokers (NZ) Limited to Tiger Fintech (Singapore) Pte. Ltd. As a result, Tiger Brokers (NZ) Limited is no longer held by the VIEs in China. In November 2018, Tiger Brokers (NZ) Limited acquired 100% of the equity interests in Fleming Funds Management PTY Limited (“Fleming”), which was established in Australia in January 2006 and has been authorized as a licensed financial services provider in Australia since July 2006.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2018, we established JV Uptech Holding Limited in BVI as a holding company to expand our business in Hong Kong. In October 2018, JV Uptech Holding Limited acquired 100% of the equity interests in Kastle Limited, which, on January 2019, was granted a license to carry on trust and company service business in Hong Kong, and in September 30, 2022, was registered as a Trust Company under section 78(1) of the Trustee Ordinance (Cap. 29). In January 2019, we entered into an agreement to purchase 100% equity interest of Tung Chi Consulting Limited, a licensed insurance broker in Hong Kong, and the acquisition completed in February 2019.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we completed our initial public offering of 14,950,000 of our ADSs, each representing 15 of our Class A ordinary shares. Concurrently, one of our existing shareholders, IB Global Investments LLC, a member of the Interactive Brokers Group of companies, purchased 13,125,000 Class A ordinary shares in a private placement.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we acquired 100% of the equity interests in TradeUP Securities for total consideration of US$9,348,290 in a combination of US$6,348,290 of cash and US$3,000,000 of Class A ordinary shares of the Company. TradeUP Securities is a licensed U.S. self-clearing broker-dealer that focuses on empowering self-directed investors with the necessary tools to manage their portfolios. TradeUP Securities brings in rich broker dealer experience in execution and clearing.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February 2021, we completed a financing transaction in which a group of investors led by an affiliate of Xiaomi Corporation (the “Investors”) purchased convertible notes in an aggregate principal amount of US$44 million through a private placement. The convertible notes will mature in 2026 unless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previously converted. On September 27 and 30, 2021, we and the Investors entered into an amendment agreement with a cash conversion feature added into the original convertible note purchase agreement. Upon conversion, we will pay or deliver, as the case may be, cash, ADSs, or a combination of cash and ADSs, at our election.</w:t>
      </w:r>
    </w:p>
    <w:p>
      <w:pPr>
        <w:spacing w:after="0" w:line="17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 April 2021, we completed a financing transaction in which a group of investors purchased convertible notes in an aggregate principal amount of US$90 million through a private placement. The convertible notes will mature in 2026 unless previously converted.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completed a financing transaction with an investor purchased convertible notes in an aggregate principal amount of US$21 million through a private placement. The convertible notes will mature in 2026 unless previously converted.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2021, we completed our follow-on public offering of 6,500,000 of our ADSs, at a public offering price of US$24.5 per ADS, each representing 15 of our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we completed the acquisition of Ocean Joy, and its sole subsidiary, a firm licensed with the Hong Kong Securities and Futures Commission for Type 1 (Dealing in Securities) and Type 2 (Dealing in Futures Contracts) regulated activities. Upon the completion of the acquisition, we started to prepare to operate the brokerage business in Hong Kong.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our wholly owned subsidiary Tiger Brokers HK was granted by the Hong Kong Securities and Futures Commission licenses for Type 4 Advising on Securities and Type 5 Advising on Futures Contracts regulated activities, which we believe will allow us to provide more types of service in the future to our clients in Hong Kong.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we closed an angel round of financing, and in April 2023, we closed a Pre-A round of financing. As a result, the angel round investors and Pre-A round investors now hold a 27.6% and 3.1% stake respectively in the subsidiary through which we conduct our ESOP business. Going forward, the ESOP business may continue to seek new rounds of external equity financing, depending on market conditions and its business needs. We believe the financing will allow us to better serve our ESOP clients.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our wholly owned subsidiary Tiger Brokers HK has officially upgraded its Type 1 license to include virtual asset dealing service, making it one of the first mainstream online brokerage firms in Hong Kong to receive approval for such a license upgrade. This successful upgrade opens the door for providing cryptocurrency trading services to Professional Investor clients in Hong Kong through its flagship platform, Tiger Trade.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SFC has officially granted a Type 9 license (Asset Management) to Tiger Brokers HK, authorizing Tiger Brokers HK to provide asset management services, including discretionary accounts service to both retail clients and professional investors and asset management service to collective investment schemes offered to professional investors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locations of our principal executive offices are 1 Raffles Place, #35-61 One Raffles Place, Singapore (048616) and 18/F, Grandyvic Building, No. 1 Building, No. 16 Taiyanggong Middle Road, Chaoyang District, Beijing, 100020 PRC and our telephone number in China at this address is +86-10-56216660. Our registered office in the Cayman Islands is P.O. Box 2547, 23 Lime Tree Bay Avenue, Grand Cayman, KY1-1104, Cayman Islands and our telephone number in Cayman Islands at this address is +1-345-745-5100. Our agent for service of process in the United States is Puglisi &amp; Associates, located at 850 Library Avenue, Suite 204 Newark, Delaware 19711 and the telephone number of our agent is +302-738-6680.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www.itigerup.com</w:t>
      </w:r>
      <w:r>
        <w:rPr>
          <w:rFonts w:ascii="Times New Roman" w:cs="Times New Roman" w:eastAsia="Times New Roman" w:hAnsi="Times New Roman"/>
          <w:sz w:val="18"/>
          <w:szCs w:val="18"/>
          <w:color w:val="auto"/>
        </w:rPr>
        <w:t>. Information contained in, or accessible through, our website is not a part of, and is not incorporated into,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 Key Information – Contractual Arrangements with the VIEs and Their Respective Shareholders”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Divestitures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including the amount invested, of the Company’s principal capital expenditures (including interests in other companies) for the years ended December 31, 2021, 2022 and 2023, see Item 5.B “Liquidity and Capital Resources-Capital Expenditures,” which disclosure is incorporated by reference in this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material divestitures for the years ended December 31, 2021, 2022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made any capital expenditures or divestitures in calendar year 2024 that were not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http://www.sec.gov. The Company’s SEC filings can be found there and on the Company’s website at https://ir.itigerup.com/financials/sec-filings.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We primarily operate a one-stop digital brokerage platform, which serves as a gateway for retail and corporate clients. Underpinned by the brokerage services, we have successfully expanded our product offerings to ESOP management, IPO distribution, and wealth management. These integrated product offerings are highly synergetic and have significantly increased the average revenue per user and customer lifetime value.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IR/PR platform, all within a few taps or clicks through APP on smartphone, tablet and PC terminals. In addition, we offer ESOP management services to soon-to-be listed and listed companies, which enable them and their employees to manage their equity incentive schemes in a convenient and simplified manner and enables us to build better connections with the institutional investors of the mentioned firms. Moreover, we serve such issuers whom we expect to have a greater chance of cross-selling our IPO distribution services, while retaining such employees with equity incentive awards to trade and invest on our platform. As of December 31, 2023, we have served 535 corporate clients via our ESOP business. Furthermore, IPO distribution is also an integral part of our comprehensive services package and is a major focus for our future growth. It not only helps us strengthen our relationship with corporate clients, but also provides IPO subscription opportunities for our retail clients. In 2023, we participated in 28 U.S. and Hong Kong IPOs. In further, we offer ESOP employees and other brokerage customers personalized asset management and wealth management services at competitive prices, such as pre-IPO shares, overseas fund products or bonds, which then lead our users to allocate more of their wealth on our platform.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keep optimizing our product and user experience, which we believe is the key to our long-term success. Our all-in-one experience adopted a comprehensive risk methodology enabling users to trade multi-asset classes across different markets in one integrated account. Our agile and scalable infrastructure enables us to enter new markets such as Singapore, Australia and other jurisdictions in a more efficient way. In addition, we distinguish ourselves in the market by moving up to the high-entry-barrier sector of self-clearing in the U.S. with acquisition of TradeUP Securities in 2019. We have restructured and upgraded the clearing system of TradeUP Securities to achieve high business flexibility. By the end of the fourth quarter of 2023, we have self-cleared over 90% of U.S. cash equity and option traded on our platform, further improved our operating efficiency and profit margin.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IPO underwriting business experienced significant reductions between 2022 and 2023 due to volatility in the U.S. IPO market and adjustment in business focus due in part to the decline in special purpose acquisition company IPOs between 2022 and 2023. It is an integral part of our comprehensive services package. In 2023, we participated in four U.S. IPOs (down from 26 in 2022), in all of which the Company’s wholly-owned subsidiaries Tiger Brokers (NZ) Limited or Tiger Securities, Inc. served as the underwriter (down from 23 in 2022). In 2023, the Company participated in 24 Hong Kong IPOs, including underwriting five of the top ten companies in terms of funds raised in Hong Kong IPOs. Since venturing into investment banking, the Company has participated in underwriting the offerings of over 150 companies for listings in Hong Kong and the US, which gains industry recognition.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keep optimizing our topline mix to overcome market volatility. While we primarily generate revenues by charging our customers commission fees for trading of securities, we also earn interest income or financing service fees arising from or related to margin financing and securities borrowing and lending transactions provided by ourselves or third parties to our customers for trading activities, as well as other income from IPO distribution, and wealth management.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and securities borrowing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lending transactions provided by ourselves or third parties to our customers for trading activities. Our revenues were US$264.5 million, US$225.4 million and US$272.5 million in 2021, 2022 and 2023, respectively. We generated net income of US$14.7 million and US$33.0 million in 2021 and 2023, respectively and recorded net losses of US$2.3 million in 2022 and Our revenues in 2021, 2022 and 2023 were mainly generated in New Zealand, the U.S. and Singapore. Our New Zealand, U.S. and Singapore subsidiaries have contributed over 93.0% of total revenues for the year ended December 31, 2023. For a further description of the breakdown of our total revenues, see “Item 5. – A Operating Results,” which disclosure is incorporated by reference in this item.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Harnessing our comprehensive product offerings and proprietary cutting-edge technology, we are well positioned to meet the distinct needs of global investors and capitalize on the structural advantages inherent in the broader macro trends: online migration, booming retail participation and rising private wealth, each of these secular trends bolsters the growth of online investing 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strengthen our competitive position and proactively grow our business by pursuing the following strategies: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 to serve investors around the world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leverage our first-mover advantage to seize opportunities in the digital brokerage sector. Through our highly extensible and scalable technology platform, we intend to leverage our proven track record and experience of global expansion and deep local market insights to broaden our foothold and gain market share in selective markets. We have already obtained licenses to operate our brokerage business in the United States, Hong Kong, Singapore, New Zealand and Australia. We will continue to opportunistically evaluate and pursue licenses or acquisitions to enhance our offerings and accelerate growth objectives in existing or new product verticals.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Broaden and capitalize on our customer base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grow with our customers as their investment needs evolve with adoption of more products and services on our platform. We aim to develop a robust long-term customer relationship which helps us deepen investor engagement and retention, and increase relationship balance overtime. To achieve this, we will continue to invest in enhancing user experience and optimizing product offerings of our platform, and foster our online investor community with high-quality, differentiated contents.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introduce our users to a wider investment world, we grow with them. We will continue to serve as a lifetime investment companion to our users through enhanced contents and tools, optimized platform features and incentive schemes that allow users to better trade, learn, practice, communicate, share and harvest with us. We have an expansive base of high-quality corporate clientele which are highly synergetic to a number of our businesses such as brokerage and margin financing.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foster the deep connection between our retail and corporate clients and leverage the powerful flywheel inherent in our business model to accelerate growth and crystallize operating synergies. Through our comprehensive service matrix that educates and nurtures users on our IR platform, and proactively initiates interactive events and campaigns for listed companies and investors, we will continue to bridge communication between our retail and corporate clients, and in turn enhance customer conversion and engagement overtime.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the breadth and depth of our offerings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thrives on constant expansion and relentless innovation of products and services. We will solidify our position as the platform of choice for online investing to customers of all types throughout economic cycles.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focusing on a comprehensive and diversified suite of offerings to encompass:</w:t>
      </w:r>
    </w:p>
    <w:p>
      <w:pPr>
        <w:spacing w:after="0" w:line="225"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Cross-market, multi-product investment experiences and product capabilities, including local-market equities, fund products and new economy investment assets;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investing tools that leverage our strong product know-how to offer fund selection and portfolio construction not only to our customers, but also to our corporate clients to enable better services to their own clients.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grow wealth management services through deepening relationships with product providers, while at the same time enhancing product innovation and portfolio construction capabilities, which allow us to offer more robust product matching and customization with greater transparency. In particular, we aim to further increase and diversify investment products available on our platform and to enhance our research and investment expertise to increase the competitiveness of our asset management and wealth management services. We also aim to provide asset management and wealth management services to a greater number of high net worth individuals as well as institutional and corporate customers. We will also continue to engage in product innovation and content enrichment through our strong and proven R&amp;D capabilities.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investment in core infrastructure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cement our technology leadership in the industry, we are committed to continuous investment in enhancing reliability, functionality, scalability and performance of our proprietary technology system. For example, we have adopted a hybrid cloud infrastructure around the world, which allows us to retain flexibility while ensuring security, via a public cloud for conducting non-sensitive information and a private cloud for processing and storing business-critical data. We will seek to partner with leading cloud service providers to maintain and enhance the agility of our technology infrastructure.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continue to invest in core infrastructure to strengthen our front-to-back technology and support foray into new capabilities and markets. We aim to further improve user experience by modularizing our APPs, which allows us to achieve high reusability and quality, while at the same time maintaining flexibility to tailor particular modules to fit the needs of our cross-cultural customers. We will continue to enhance our technology in order management, algo trade, risk control and market access. Following our strategic acquisition of TradeUP Securities in 2019, we have restructured and upgraded its clearing system to achieve high business flexibility. Now, we self-clear a majority self-clearing for U.S. and Hong Kong cash equities trades, which brings down our total clearing expense, and we will continue to invest in the development of our self-clearing capabilities in the US and other markets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further develop AI, big data and algorithmic capabilities to optimize our value propositions and improve operating efficiency, including:</w:t>
      </w:r>
    </w:p>
    <w:p>
      <w:pPr>
        <w:spacing w:after="0" w:line="225" w:lineRule="exact"/>
        <w:rPr>
          <w:sz w:val="20"/>
          <w:szCs w:val="20"/>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investment into our advanced data warehouse and user profiling systems to empower marketing intelligence, which allows us to optimize customer experience through more personalized product offerings and recommendations, and enhancing user engagement and retention via our persistent focus on precise client management, customer profiling and labelling;</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artificial intelligence and quantitative modelling tools into our platform, therefore making our platform increasingly smart and agile when offering financial advisory and portfolio construction to our customers. We launched TigerGPT in 2023, an AI investment assistant aimed at providing intelligent decision-making support for investors developed by Tiger Brokers’ R&amp;D team and based on OpenAI; and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cost optimization and improvement of operating efficiency through process automation.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a comprehensive and user-friendly online trading experience for investors through our platform that can be accessed through our APP or website. Our services became accessible on the website and through our flagship APP, Tiger Trade, in August 2015. Currently our trading platform enables our customers to execute trades in a secure, reliable and cost-efficient environment. Our trading platform also encompasses an abundance of complementary services that help our customers make informed investment decisions.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platform allows investors to trade stocks, options, warrants and other financial instruments listed on the major stock exchanges around the world, including but not limited to Nasdaq, New York Stock Exchange and Hong Kong Stock Exchange as well as A shares which are eligible under Shanghai-Hong Kong Stock Connect and Shenzhen-Hong Kong Stock Connect programs. Our customers can also trade futures contracts, trade on margin and short sell on our trading platform.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trading volume amounted to US$81.8 billion during the fourth quarter of 2023. Below is the table of the operating data as of the dates or for the periods indicated.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7"/>
          </w:tcPr>
          <w:p>
            <w:pPr>
              <w:ind w:left="540"/>
              <w:spacing w:after="0"/>
              <w:rPr>
                <w:sz w:val="20"/>
                <w:szCs w:val="20"/>
                <w:color w:val="auto"/>
              </w:rPr>
            </w:pPr>
            <w:r>
              <w:rPr>
                <w:rFonts w:ascii="Times New Roman" w:cs="Times New Roman" w:eastAsia="Times New Roman" w:hAnsi="Times New Roman"/>
                <w:sz w:val="12"/>
                <w:szCs w:val="12"/>
                <w:b w:val="1"/>
                <w:bCs w:val="1"/>
                <w:color w:val="auto"/>
                <w:w w:val="97"/>
              </w:rPr>
              <w:t>As of and for the 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94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20" w:type="dxa"/>
            <w:vAlign w:val="bottom"/>
          </w:tcPr>
          <w:p>
            <w:pPr>
              <w:spacing w:after="0"/>
              <w:rPr>
                <w:sz w:val="14"/>
                <w:szCs w:val="14"/>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20" w:type="dxa"/>
            <w:vAlign w:val="bottom"/>
          </w:tcPr>
          <w:p>
            <w:pPr>
              <w:spacing w:after="0"/>
              <w:rPr>
                <w:sz w:val="14"/>
                <w:szCs w:val="14"/>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Sep 30,</w:t>
            </w:r>
          </w:p>
        </w:tc>
        <w:tc>
          <w:tcPr>
            <w:tcW w:w="120" w:type="dxa"/>
            <w:vAlign w:val="bottom"/>
          </w:tcPr>
          <w:p>
            <w:pPr>
              <w:spacing w:after="0"/>
              <w:rPr>
                <w:sz w:val="14"/>
                <w:szCs w:val="14"/>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100" w:type="dxa"/>
            <w:vAlign w:val="bottom"/>
          </w:tcPr>
          <w:p>
            <w:pPr>
              <w:spacing w:after="0"/>
              <w:rPr>
                <w:sz w:val="14"/>
                <w:szCs w:val="14"/>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4"/>
                <w:szCs w:val="14"/>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2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Sep 30,</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1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Sep 30,</w:t>
            </w:r>
          </w:p>
        </w:tc>
        <w:tc>
          <w:tcPr>
            <w:tcW w:w="10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 31,</w:t>
            </w:r>
          </w:p>
        </w:tc>
      </w:tr>
      <w:tr>
        <w:trPr>
          <w:trHeight w:val="168"/>
        </w:trPr>
        <w:tc>
          <w:tcPr>
            <w:tcW w:w="194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780" w:type="dxa"/>
            <w:vAlign w:val="bottom"/>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78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780" w:type="dxa"/>
            <w:vAlign w:val="bottom"/>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84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2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2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r>
      <w:tr>
        <w:trPr>
          <w:trHeight w:val="134"/>
        </w:trPr>
        <w:tc>
          <w:tcPr>
            <w:tcW w:w="194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2"/>
                <w:szCs w:val="12"/>
                <w:color w:val="auto"/>
              </w:rPr>
              <w:t>Number of customer</w:t>
            </w: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7"/>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accounts (in thousands)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1,400.2</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1,649.0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1,766.8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1,845.9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1,896.2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1,935.0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1,970.4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2,008.0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2,060.5</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2,119.1</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2,147.9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2,195.7</w:t>
            </w:r>
          </w:p>
        </w:tc>
        <w:tc>
          <w:tcPr>
            <w:tcW w:w="100" w:type="dxa"/>
            <w:vAlign w:val="bottom"/>
            <w:shd w:val="clear" w:color="auto" w:fill="CFF0FC"/>
          </w:tcPr>
          <w:p>
            <w:pPr>
              <w:spacing w:after="0"/>
              <w:rPr>
                <w:sz w:val="13"/>
                <w:szCs w:val="13"/>
                <w:color w:val="auto"/>
              </w:rPr>
            </w:pPr>
          </w:p>
        </w:tc>
      </w:tr>
      <w:tr>
        <w:trPr>
          <w:trHeight w:val="140"/>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Number of customers with</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deposits (in thousands)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529.1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865.5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904.6</w:t>
            </w:r>
          </w:p>
        </w:tc>
        <w:tc>
          <w:tcPr>
            <w:tcW w:w="100" w:type="dxa"/>
            <w:vAlign w:val="bottom"/>
          </w:tcPr>
          <w:p>
            <w:pPr>
              <w:spacing w:after="0"/>
              <w:rPr>
                <w:sz w:val="13"/>
                <w:szCs w:val="13"/>
                <w:color w:val="auto"/>
              </w:rPr>
            </w:pPr>
          </w:p>
        </w:tc>
      </w:tr>
      <w:tr>
        <w:trPr>
          <w:trHeight w:val="14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Number of trading</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7"/>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customers (in thousands)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411.0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502.4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552.5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563.7</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609.1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627.1</w:t>
            </w:r>
          </w:p>
        </w:tc>
        <w:tc>
          <w:tcPr>
            <w:tcW w:w="100" w:type="dxa"/>
            <w:vAlign w:val="bottom"/>
            <w:shd w:val="clear" w:color="auto" w:fill="CFF0FC"/>
          </w:tcPr>
          <w:p>
            <w:pPr>
              <w:spacing w:after="0"/>
              <w:rPr>
                <w:sz w:val="13"/>
                <w:szCs w:val="13"/>
                <w:color w:val="auto"/>
              </w:rPr>
            </w:pPr>
          </w:p>
        </w:tc>
      </w:tr>
      <w:tr>
        <w:trPr>
          <w:trHeight w:val="140"/>
        </w:trPr>
        <w:tc>
          <w:tcPr>
            <w:tcW w:w="1940" w:type="dxa"/>
            <w:vAlign w:val="bottom"/>
          </w:tcPr>
          <w:p>
            <w:pPr>
              <w:ind w:left="20"/>
              <w:spacing w:after="0" w:line="141" w:lineRule="exact"/>
              <w:rPr>
                <w:sz w:val="20"/>
                <w:szCs w:val="20"/>
                <w:color w:val="auto"/>
              </w:rPr>
            </w:pPr>
            <w:r>
              <w:rPr>
                <w:rFonts w:ascii="Times New Roman" w:cs="Times New Roman" w:eastAsia="Times New Roman" w:hAnsi="Times New Roman"/>
                <w:sz w:val="12"/>
                <w:szCs w:val="12"/>
                <w:color w:val="auto"/>
              </w:rPr>
              <w:t xml:space="preserve">Total account balance </w:t>
            </w:r>
            <w:r>
              <w:rPr>
                <w:rFonts w:ascii="Times New Roman" w:cs="Times New Roman" w:eastAsia="Times New Roman" w:hAnsi="Times New Roman"/>
                <w:sz w:val="15"/>
                <w:szCs w:val="15"/>
                <w:color w:val="auto"/>
                <w:vertAlign w:val="superscript"/>
              </w:rPr>
              <w:t>(1)(3)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 US$millions)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23,932.7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20,551.9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17,082.5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15,210.3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14,860.2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12,958.9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16,128.5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17,269.4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18,878.5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30,597.5</w:t>
            </w:r>
          </w:p>
        </w:tc>
        <w:tc>
          <w:tcPr>
            <w:tcW w:w="100" w:type="dxa"/>
            <w:vAlign w:val="bottom"/>
          </w:tcPr>
          <w:p>
            <w:pPr>
              <w:spacing w:after="0"/>
              <w:rPr>
                <w:sz w:val="13"/>
                <w:szCs w:val="13"/>
                <w:color w:val="auto"/>
              </w:rPr>
            </w:pPr>
          </w:p>
        </w:tc>
      </w:tr>
      <w:tr>
        <w:trPr>
          <w:trHeight w:val="144"/>
        </w:trPr>
        <w:tc>
          <w:tcPr>
            <w:tcW w:w="19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2"/>
                <w:szCs w:val="12"/>
                <w:color w:val="auto"/>
              </w:rPr>
              <w:t xml:space="preserve">Trading volume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xml:space="preserve"> (in</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7"/>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US$millions)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123,831.5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102,006.0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92,574.1</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85,896.3</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91,016.9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85,475.8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78,161.3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68,541.9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67,044.1</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65,135.9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80,250.7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81,765.2</w:t>
            </w:r>
          </w:p>
        </w:tc>
        <w:tc>
          <w:tcPr>
            <w:tcW w:w="100" w:type="dxa"/>
            <w:vAlign w:val="bottom"/>
            <w:shd w:val="clear" w:color="auto" w:fill="CFF0FC"/>
          </w:tcPr>
          <w:p>
            <w:pPr>
              <w:spacing w:after="0"/>
              <w:rPr>
                <w:sz w:val="13"/>
                <w:szCs w:val="13"/>
                <w:color w:val="auto"/>
              </w:rPr>
            </w:pPr>
          </w:p>
        </w:tc>
      </w:tr>
      <w:tr>
        <w:trPr>
          <w:trHeight w:val="125"/>
        </w:trPr>
        <w:tc>
          <w:tcPr>
            <w:tcW w:w="194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Daily average trading</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4"/>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volume</w:t>
            </w:r>
            <w:r>
              <w:rPr>
                <w:rFonts w:ascii="Times New Roman" w:cs="Times New Roman" w:eastAsia="Times New Roman" w:hAnsi="Times New Roman"/>
                <w:sz w:val="15"/>
                <w:szCs w:val="15"/>
                <w:color w:val="auto"/>
                <w:vertAlign w:val="superscript"/>
              </w:rPr>
              <w:t>(2)(3)</w:t>
            </w:r>
            <w:r>
              <w:rPr>
                <w:rFonts w:ascii="Times New Roman" w:cs="Times New Roman" w:eastAsia="Times New Roman" w:hAnsi="Times New Roman"/>
                <w:sz w:val="12"/>
                <w:szCs w:val="12"/>
                <w:color w:val="auto"/>
              </w:rPr>
              <w:t xml:space="preserve"> (in US$millions)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1,619.1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1,342.1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1,492.1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1,033.9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1,277.6</w:t>
            </w:r>
          </w:p>
        </w:tc>
        <w:tc>
          <w:tcPr>
            <w:tcW w:w="100" w:type="dxa"/>
            <w:vAlign w:val="bottom"/>
          </w:tcPr>
          <w:p>
            <w:pPr>
              <w:spacing w:after="0"/>
              <w:rPr>
                <w:sz w:val="17"/>
                <w:szCs w:val="17"/>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balance of all customers’ deposits on our platform as of the respective date.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average number of trading days during the period of the U.S. and Hong Kong exchanges.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297,242 of our customers had conducted at least one trading transaction on our platform in the preceding 12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Platform Interface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user interface of our trading platform compartmentalizes services into six major functions: home, discover, wealth, community, portfolio and profile.</w:t>
      </w:r>
    </w:p>
    <w:p>
      <w:pPr>
        <w:spacing w:after="0" w:line="223" w:lineRule="exact"/>
        <w:rPr>
          <w:sz w:val="20"/>
          <w:szCs w:val="20"/>
          <w:color w:val="auto"/>
        </w:rPr>
      </w:pPr>
    </w:p>
    <w:p>
      <w:pPr>
        <w:jc w:val="both"/>
        <w:ind w:left="760" w:hanging="378"/>
        <w:spacing w:after="0" w:line="26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The homepage supports users in configuring modules according to their preferences, enabling them to quickly view their holdings,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 movers stocks, set up auto-invest, and browse trading orders shared by trade feed. The homepage offers a total of 20+ modules for users to choose from.</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The community function is where users can read and post opinions on markets and securities. At the same time,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users in viewing important news, learning trading basics and advanced knowledge through our academy, and watching live financial report meetings.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378"/>
        <w:spacing w:after="0" w:line="28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w:t>
      </w:r>
      <w:r>
        <w:rPr>
          <w:rFonts w:ascii="Times New Roman" w:cs="Times New Roman" w:eastAsia="Times New Roman" w:hAnsi="Times New Roman"/>
          <w:sz w:val="18"/>
          <w:szCs w:val="18"/>
          <w:color w:val="auto"/>
        </w:rPr>
        <w:t>On the discover page, users can view their watchlist, explore popular assets in various markets, check the release schedule of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financial reports and other important economic calendars, and track trends of major global indices.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Wealth. </w:t>
      </w:r>
      <w:r>
        <w:rPr>
          <w:rFonts w:ascii="Times New Roman" w:cs="Times New Roman" w:eastAsia="Times New Roman" w:hAnsi="Times New Roman"/>
          <w:sz w:val="18"/>
          <w:szCs w:val="18"/>
          <w:color w:val="auto"/>
        </w:rPr>
        <w:t>Wealth is upgraded to the first-level entrance of the APP, with a wide spectrum of products, high-quality financial assets, convenient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and interaction, as your one-stop platform service. Including the products we offer, such as global Mutual Funds (including Money Market Funds, Fixed Income Funds, Equity Funds, Hybrid Funds, etc.), US Treasurys, Fixed Income Notes, High-Net-Wealth Products, Auto-Sweep Vault (underlying T0 and T1 Money Market Funds), ETFs, and other products.</w:t>
      </w:r>
    </w:p>
    <w:p>
      <w:pPr>
        <w:spacing w:after="0" w:line="179"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w:t>
      </w:r>
      <w:r>
        <w:rPr>
          <w:rFonts w:ascii="Times New Roman" w:cs="Times New Roman" w:eastAsia="Times New Roman" w:hAnsi="Times New Roman"/>
          <w:sz w:val="18"/>
          <w:szCs w:val="18"/>
          <w:color w:val="auto"/>
        </w:rPr>
        <w:t>The Portfolio feature supports users in viewing their total assets, cash balance, maximum purchasing power, profit charts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users can analyze their profit and loss.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Profile</w:t>
      </w:r>
      <w:r>
        <w:rPr>
          <w:rFonts w:ascii="Times New Roman" w:cs="Times New Roman" w:eastAsia="Times New Roman" w:hAnsi="Times New Roman"/>
          <w:sz w:val="18"/>
          <w:szCs w:val="18"/>
          <w:color w:val="auto"/>
        </w:rPr>
        <w:t>. The profile page allows users to modify their general settings, such as language, theme, and quote settings. Users can also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feedback on product issues, contact customer service and access the help center. Additionally, users can participate in various activities and claim rewards.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Accounts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also partner with other clearing agents, we cooperate with Interactive Brokers to execute, settle and clear a small portion of the trades of the U.S. and Hong Kong stocks and other financial instruments, and to comply with certain federal, state and other laws, as discussed in more details in Item 4.B “Business Overview-Our Core Products and Services-Revenue Models.” There are two main account types on our platform, consolidated accounts and fully disclosed accounts, depending on the cooperative model with our clearing agents.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consolidated accounts, our customers only open accounts and place trades with our platform. We are responsible for the “know your client”, or KYC, and anti-money laundering, or AML, procedures including customer identity verification, account approval and disapproval, record keeping, monitoring and supervision of the accounts and other compliance functions, which are no less stringent than the procedures performed for fully disclosed account customers. We work with Interactive Brokers primarily, as well as other agents and our subsidiary TradeUP Securities for order execution, clearing and settlement services. Consolidated accounts offer more functions, products and services than fully disclosed accounts, such as innovative financial instruments. With our advanced technology and third party database, the account opening process for consolidated accounts is more efficient and smooth.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fully disclosed accounts, we provide a user-friendly trading interface and infrastructure for the customers and we engage Interactive Brokers to perform the execution, clearing and settlement services. We are responsible for technical support, customer service and marketing to the fully disclosed account customers. We also perform our own KYC procedures to verify the identity and financial condition of potential customers. In addition to the account on our platform, each of our customers also open a corresponding account with Interactive Brokers. Interactive Brokers is required to perform key functions in respect of KYC and AML procedures including customer identities verification, account approval and disapprovals and continuing monitoring and supervision of the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Models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our brokerage services through commission fees we charge our customers and interest income or financing service fees arising from or related to margin loans or securities borrowing and lending transactions services provided to customers by ourselves or third parties for trading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from commission fees are generated by customer trades and are largely determined by trading volume and commission rates. We charge commission fees based on the amount of transaction volume, or the number of shares, lots or contracts in each order. We from time to time award discounted or even zero commission fees to new or existing customers as part of our marketing scheme, thus attracting more customers and boosting customer stickiness.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agreement with our clearing agent, Interactive Brokers, we receive a portion of commission fees paid by our customers every time Interactive Brokers executes and clears a trade order. For consolidated accounts, we receive commission and pay a pre-determined portion to Interactive Brokers and other clearing partners as execution and clearing fees. In the meantime, we also use TradeUP Securities, one of our subsidiaries with clearing license to execute and clear client trades and pay a pre-determined portion to corresponding clearing counterparties. For fully disclosed accounts, every time Interactive Brokers executes and clears a trade, it collects the commission, deducts the execution and clearing fees and returns the rest of the commission fees to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can also trade on margin and short sell securities on our trading platform. The minimum deposit that customers must have to open and maintain a margin account so as to conduct margin trading and securities borrowing and lending transactions is currently set by Interactive Brokers for fully disclosed account at US$2,000. The margin loan or funding is offered by our platform for consolidated account customers and by Interactive Brokers for fully disclosed account customers. We generate interest income arising from margin financing offered by us to consolidated account customers and earn financing service fees related to the margin financing provided by Interactive Brokers to our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 diversified pricing terms to better serve our customers with individualized needs. The commissions we charge generally vary in accordance with the type of products or services discussed above as well as timing of account activation, eligibility for discounts and other factors. For margin loans, we charge a specific interest rate on margin loans provided by us, or a markup above the interest rate of the margin loans provided by our clearing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and Corporate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we continued to expand a number of innovative services in order to attract new customers as well as to serve existing customers whom we expect to have a greater chance of cross-selling products or services. We provide ESOP management services to soon-to-be listed and listed companies which enable them and their employees to manage their equity incentive schemes in a convenient and simplified manner. Our customer representatives work together with these companies to build a repository of equity incentive awards in our proprietary ESOP management system. We then help companies manage the vesting and exercise of their equity incentive awards as well as educating company employees about ESOP. Overall, we have worked with over 535 corporate clients by the end of the year of 2023, including 30 new clients added in the fourth quarter of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our in-depth knowledge of the global financial market, we have also developed a one-stop incubation service for small and medium sized buy-side customers to set up offshore funds in a cost-effective way. Our service offerings include fund license application, product design, asset custody, transaction execution and funding allocation. We carefully consider factors related to a fund’s potential launch to the public such as vehicle structure, registration constraints, demand and potential for success in comparison to other funds in the market. We generally offer our fund structuring and management services on a complimentary basis in exchange of our institutional customers’ marketing of our products and services.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the Company participated in 24 Hong Kong IPOs, and underwriting five of the top ten companies in terms of funds raised in Hong Kong IPOs. Additionally, among the pre-filed US-listed companies in 2023, it acted as the lead underwriter for four companies, securing the top spot in terms of quantity. Since venturing into investment banking, the Company has participated in underwriting over 150 companies for listings in Hong Kong and the US, leading the industry in both quantity and recognition.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provide investor relations service to issuers, to help companies manage their ongoing relationships with shareholders, including comprehensive stock data and corporate information via our investor-facing homepage, investor education, community events, video broadcasting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Financing and Securities Lending Services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margin financing and securities lending services provide real-time, cross-market securities-backed financing to our clients. We have grown these services rapidly since introduction, a reflection, we believe, of both our ability to cross-sell as well as our clients’ receptivity to increasingly sophisticated investing tools delivered seamlessly.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margin financing to clients who trade securities listed on the Hong Kong Stock Exchange, Singapore Exchange and the major stock exchanges in the U.S. as well as qualified securities under the Hong Kong, Shanghai and Shenzhen Stock Connect. All financing extended to our clients is secured by acceptable securities pledged to us. Our trading system can automatically pledge cross-market account assets so that the value in a client’s multiple trading accounts, which may include cash in different currencies and acceptable securities listed on these markets, will be aggregated when calculating the value of the client’s collateral. In particular, this provides significant efficiencies as it eliminates the costs and procedures involved in cross-market currency translation or exchange.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are eligible for margin financing services when they hold securities that are acceptable as pledges to us in their accounts. The credit line for each eligible client is determined based on the securities across all of his or her trading accounts. The margin financing services for eligible margin financing clients are activated automatically, when the funds in their accounts are not sufficient to purchase the desired securities and there is still sufficient balance in their credit lines.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list of securities acceptable as collateral to us and their respective margin ratios are regularly updated and shared with our clients. Our risk management team determines the margin ratio for each of the acceptable securities based on the trading frequency, fundamentals, historical price fluctuations and general market volatility. We also reference the financing terms of major financial institutions in establishing our margin ratios, and we typically find our margin ratios to be equal or higher. We believe this has differentiated our prudent risk controls. Our margin ratios are monitored in real-time and our risk management team reviews and adjusts the margin ratio for each acceptable security on a regular basis and more frequently in the case of a significant and rapid price decline.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clients who trade securities listed on the major stock exchanges in Hong Kong, Singapore and the U.S., we offer securities lending services by lending securities we obtain from our securities lending partner. This service allows our clients to pursue short-selling strategies. To borrow securities, our clients must pledge cash or acceptable securities from in-house trading accounts. When we launched our margin financing business, we financed mostly from our own working capital and retained earnings. We have diversified the source of our financing through collaboration with our financial institution partners where we can combine collateral from our clients into portfolios and pledge the portfolios to financial institutions for commercial loans.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and Wealth Management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asset management and wealth management segment sustained robust growth in 2023, aligning with our expanded global footprint. By the fourth quarter's end, assets under management (AUM) surged by 420.9% year-over-year, accompanied by a 163.9% increase in our client base.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Tiger Vault, our wealth management service, gained traction worldwide with its unique features such as a minimal US$1 investment threshold, high liquidity, and attractive yields. This led to a surge in activated accounts and increased investor recognition. In Singapore, our Fund Mall further supported AIP and facilitated the investment process, enabling customers to invest in Singapore dollar-denominated funds directly from their bank accounts. We introduced new fund rankings, enhancing the efficiency of fund selection with themed lists such as "most consistent performers," "top traded funds," and "best performing funds." Furthermore, we redesigned the wealth management interface within the Tiger Trade app, enhancing the "Wealth" page to provide comprehensive displays of our wealth management products across various asset classes.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commitment to meeting diverse risk appetites and investment needs led us to expand our product offerings in 2023. This included the introduction of a US Treasury trading service, offering over 360 types and maturities of US Treasury products, as well as the launch of fixed coupon notes (FCNs) to cater to the asset allocation needs of professional investors. Moreover, we introduced several educational initiatives designed to inform investors about the ever-changing landscape of financial investment products in an engaging manner.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institutional front, we launched a one-stop wealth management solution for major financial advisory firms and wealth management entities in Singapore. Addressing the industry's current pain points such as complex client onboarding requirements, cumbersome account opening processes, limited trading options, and low transaction settlement efficiency, Tiger introduced its next-generation Turnkey Asset Management Platform (TAMP). This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 offers flexible account structures, fully online account opening, multi-market and multi-asset trading, extensive analysis and trading tools, and diversified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Supported by a team with rich experience in business and services, our integration of cutting-edge technology with human expertise has solidified our position as a trusted partner, reinforcing our competitive stance within the financial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Complementary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key attraction of our trading platform is the complementary services we embed in our trading platform’s functions. The major complementary services are market information, community engagement, investor education and simulated trading, which work together to help our customers make informed investment decisions.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information</w:t>
      </w:r>
      <w:r>
        <w:rPr>
          <w:rFonts w:ascii="Times New Roman" w:cs="Times New Roman" w:eastAsia="Times New Roman" w:hAnsi="Times New Roman"/>
          <w:sz w:val="18"/>
          <w:szCs w:val="18"/>
          <w:color w:val="auto"/>
        </w:rPr>
        <w:t>. We provide comprehensive market information to our customers, including real-time price quotes from various exchanges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markets, technical indicators and macroeconomic data. Our customers can either select market information by browsing under the exchanges they are interested in researching or using the search function to find a specific security.</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have built our “Tiger Community” consisting of live discussion boards for our customers to communicate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team and among themselves regarding market trends, investment opportunities and other related topics. Discussion boards are broken down into hot topics that are tailored to major market events and editors’ picks representing substantive and analytical posts that add value to the investor community.</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education</w:t>
      </w:r>
      <w:r>
        <w:rPr>
          <w:rFonts w:ascii="Times New Roman" w:cs="Times New Roman" w:eastAsia="Times New Roman" w:hAnsi="Times New Roman"/>
          <w:sz w:val="18"/>
          <w:szCs w:val="18"/>
          <w:color w:val="auto"/>
        </w:rPr>
        <w:t>. We have developed “Tiger Academy,” which is a set of educational programs designed to target customers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levels trading in stocks and other financial instruments. Our educational programs include basic rules and processes of trading, fundamental analysis methods and technical analysis methods. We offer online lectures and live video programs produced in-house covering a variety of topics.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Simulated trading</w:t>
      </w:r>
      <w:r>
        <w:rPr>
          <w:rFonts w:ascii="Times New Roman" w:cs="Times New Roman" w:eastAsia="Times New Roman" w:hAnsi="Times New Roman"/>
          <w:sz w:val="18"/>
          <w:szCs w:val="18"/>
          <w:color w:val="auto"/>
        </w:rPr>
        <w:t>. We enable users who have signed up on our trading platform to practice their stock-picking and trading skills without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any money. Users can log on, set up a paper account and use a predetermined amount of simulated funds to make simulated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Users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those who have registered on our platform as our users and those who have opened accounts on our platform as customers. Our customers include individual customers, corporate customers and institutional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attracted a young, affluent, and highly engaged user base with frequent trading pattern base on our trading platform. Our users and customers are generally sophisticated Chinese investors living in and outside China with relatively higher risk tolerance.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and 2023, the aggregate of account balance amounted to US$14.0 billion and US$30.6 billion, respectively. Our customers can open and activate trading accounts through our APP which can be downloaded for free from APP stores or through our website. After filling in personal information online, our customers are required to complete a series of questions and upload various documents to verify their identity and assess potential risks.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both number of customers and trading volume due to our reliable and secure trading platform, comprehensive brokerage and value-added services and superior user experience. The total customer accounts increased from 18,697 as of March 31, 2016 to 2,195,705 as of December 31, 2023, representing a compounded quarterly growth rate of 16.6%. The daily average trading volume increased from US$22.7 million during the first quarter of 2016 to US$1,277.6 million during the fourth quarter of 2023, representing a compounded quarterly growth rate of 13.9%.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Branding, Customer Development and Customer Support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attract and retain customers to use our trading platform through marketing and branding, customer development and customer support.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targeted branding and marketing to attract potential customers using both online and traditional marketing channels. Our online marketing activities mainly include Internet search engine results and advertisements on websites focused on trading and finance. We also actively conduct marketing for our trading platform through APP stores. In addition, we promote our brand and trading platform through our corporate accounts on popular interactive social media platform. We benefit from cross-branding arrangements with third-party websites, and influential social media accounts, under which we cooperate to help improve each other’s brand recognition. We specialize in utilizing social media to strengthen our brand equity, enhance our competitive advantages and expand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initiate branding activities to promote our brand awareness among existing and potential customers around the world. We provide the technical backbone to many leading online platforms that allow their own users to analyze and trade U.S. and Hong Kong securities. As a result of the superior functionalities of our trading platform and our position as an independent platform with capability to trade U.S. and Hong Kong securities, we have been chosen by some well-known platforms as their business partner. These partnerships have enabled us to access a wider user base and scale up in a cost-efficient manner.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focus on investing in cost-effective marketing initiatives and regularly evaluating the effectiveness of various marketing channels to optimize the allocation of our marketing resources. All customer acquisitions are tracked and analyzed based on profitability on a regular basis so that adjustments can quickly be made to our marketing efforts. We focus on continuously improving the quality of our products and services as we believe satisfied customers are more likely to recommend our trading platform to other potential customers. We incurred marketing and branding expenses of US$59.3 million, US$33.1 million and US$20.9 million in 2021, 2022 and 2023, respectively, accounting for 22.4%, 14.7% and 7.7%, respectively, of total revenues for the same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users and potential customers can initiate contact with us through phone call and online message. To further build the relationships, our business and customer support team generally follow up with customers to respond to their questions about our trading platform, our products and our business in general.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use data analytics tools to identify users who are more likely to open trading accounts with us through an analysis of communication history and platform usage records, thus improving the effectiveness of our customer development and customer conversion. We also implement a member-to-member referral bonus system for existing customers who introduce new customers to our trading platform so both the introducer and the introduced receive bonus funds for commission-free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pride in the level and quality of customer services we provide. We have a dedicated team of customer support personnel that handles customer inquiries about our trading platform via phone call and online message. Our business and customer support team consisted of 168 employees as of December 31, 2023 and operates for around 20 hours every trading day to serve our customers across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implement stringent internal policies and training programs regulating how our customer representatives communicate with and serve our customers. Our compliance team also regularly monitors communications between our customer representatives and customers to maximize the level of satisfaction from our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Infrastructure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technology is critical to our goal of providing the most user-friendly trading experience at the best value to our customers. Over the past eight years, we have developed an integrated trading platform to create an efficient conduit for the global flow of capital across securities on electronic exchanges around the world, while at the same time maintaining one of the lowest fee schemes in the industry. We strongly believe in developing and continuing to enhance our proprietary technology to adapt quickly to the changing environment and regulatory change of our industry and to take advantage of opportunities presented by new exchanges or new product lines ahead of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Platform Interface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trading platform allows our customers to execute trades in an efficient, secure, reliable and user-friendly manner. Customer trades are both automatically captured and reported in real time to our trading platform. Users can search for and download our trading platform on APP stores through their mobile devices, or simply trade on our website. It generally takes less than five minutes to register and submit the application required to open an account on our platform. Once our customers open accounts on our platform, they will be directed to link a payment method for making deposits into their accounts. We perform biweekly updates to our trading platform and had updated over 150 versions.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Back-end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proprietary and robust back-end system, which is able to support major aspects of our business operation, and our comprehensive product offerings. Our back-end system ensures the safety, stability, smoothness and speed of transactions on our trading platform. For example, we receive, process and distribute stock quote data at a speed on average 71,200 units per second at its peak. Our back-end system is able to facilitate trades in a secure and reliable manner by connecting seamlessly to our clearing agents.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back-end system, we employ proprietary technology to automate functions including account management, market updates, order routing, seamless trading across securities and risk management. Our back-end system is built with the following features.</w:t>
      </w:r>
    </w:p>
    <w:p>
      <w:pPr>
        <w:spacing w:after="0" w:line="160" w:lineRule="exact"/>
        <w:rPr>
          <w:sz w:val="20"/>
          <w:szCs w:val="20"/>
          <w:color w:val="auto"/>
        </w:rPr>
      </w:pPr>
    </w:p>
    <w:p>
      <w:pPr>
        <w:ind w:left="760" w:hanging="378"/>
        <w:spacing w:after="0" w:line="28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availability</w:t>
      </w:r>
      <w:r>
        <w:rPr>
          <w:rFonts w:ascii="Times New Roman" w:cs="Times New Roman" w:eastAsia="Times New Roman" w:hAnsi="Times New Roman"/>
          <w:sz w:val="18"/>
          <w:szCs w:val="18"/>
          <w:color w:val="auto"/>
        </w:rPr>
        <w:t>. Our back-end system supports an infrastructure and application architecture with high-level SLA which guarantees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can connect and trade at any time to avoid missing any fleeting opportunities in the market.</w:t>
      </w:r>
    </w:p>
    <w:p>
      <w:pPr>
        <w:spacing w:after="0" w:line="1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reliability</w:t>
      </w:r>
      <w:r>
        <w:rPr>
          <w:rFonts w:ascii="Times New Roman" w:cs="Times New Roman" w:eastAsia="Times New Roman" w:hAnsi="Times New Roman"/>
          <w:sz w:val="18"/>
          <w:szCs w:val="18"/>
          <w:color w:val="auto"/>
        </w:rPr>
        <w:t>. It provides high accuracy in user data and market data, supported by both real-time and off-line calculations.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Our system empowers systemized security measures such as strong encryption and two-factor authentication, in addition to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and business continuity plans.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performance and extensibility</w:t>
      </w:r>
      <w:r>
        <w:rPr>
          <w:rFonts w:ascii="Times New Roman" w:cs="Times New Roman" w:eastAsia="Times New Roman" w:hAnsi="Times New Roman"/>
          <w:sz w:val="18"/>
          <w:szCs w:val="18"/>
          <w:color w:val="auto"/>
        </w:rPr>
        <w:t>. It is able to handle millions of real time data at the peak, while supporting order execution and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high throughput; enhanced to improve capacity for handling an increased load; and designed for easy modification, allowing us to increase system features, functions and capabilities efficiently.</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latency</w:t>
      </w:r>
      <w:r>
        <w:rPr>
          <w:rFonts w:ascii="Times New Roman" w:cs="Times New Roman" w:eastAsia="Times New Roman" w:hAnsi="Times New Roman"/>
          <w:sz w:val="18"/>
          <w:szCs w:val="18"/>
          <w:color w:val="auto"/>
        </w:rPr>
        <w:t>. Our system boasts dedicated relay networks and system optimization tools that reduce end-to-end latency from customer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to the various exchanges.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back-end system boasts strong capabilities to handle customer information and trade orders. We designed our back-end system for easy modification, allowing us to increase system features, functions and capabilities efficiently as well as to handle a high volume of orders from customers at any one time. We ensure the security and integrity of all customer assets using various safeguards.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formal business continuity policies and practices aimed at ensuring rapid recovery from any business or trade interruptions. We rank each of our services according to the risks associated with potential interruptions and have also established business recovery time objectives for our services. We regularly review and test our recovery plans and controls to ensure the effectiveness of such plans and controls in meeting our business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CRM System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CRM system is the core IT system for customer development and support. Our CRM system allows us to centrally monitor and supervise customer communications, manage relationships with customers, and analyze important customer data:</w:t>
      </w:r>
    </w:p>
    <w:p>
      <w:pPr>
        <w:spacing w:after="0" w:line="160" w:lineRule="exact"/>
        <w:rPr>
          <w:sz w:val="20"/>
          <w:szCs w:val="20"/>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communications</w:t>
      </w:r>
      <w:r>
        <w:rPr>
          <w:rFonts w:ascii="Times New Roman" w:cs="Times New Roman" w:eastAsia="Times New Roman" w:hAnsi="Times New Roman"/>
          <w:sz w:val="18"/>
          <w:szCs w:val="18"/>
          <w:color w:val="auto"/>
        </w:rPr>
        <w:t>. Our CRM system is integrated with our phone calls and online messaging systems, which assists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to anticipate and solve questions for our customers as they can access customer information and data from the CRM system while communicating with customers.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relationship management</w:t>
      </w:r>
      <w:r>
        <w:rPr>
          <w:rFonts w:ascii="Times New Roman" w:cs="Times New Roman" w:eastAsia="Times New Roman" w:hAnsi="Times New Roman"/>
          <w:sz w:val="18"/>
          <w:szCs w:val="18"/>
          <w:color w:val="auto"/>
        </w:rPr>
        <w:t>. Our CRM system also facilitates the management of account opening procedure, account status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of customer complaints and other customer activities. Through the CRM system, our customer representatives can access customers’ communication history, their platform usage records and trading records.</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analysis</w:t>
      </w:r>
      <w:r>
        <w:rPr>
          <w:rFonts w:ascii="Times New Roman" w:cs="Times New Roman" w:eastAsia="Times New Roman" w:hAnsi="Times New Roman"/>
          <w:sz w:val="18"/>
          <w:szCs w:val="18"/>
          <w:color w:val="auto"/>
        </w:rPr>
        <w:t>. Through our CRM system, we can analyze our customer’s communication history and trading records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efficiency.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our proprietary trading platform, back-end technology and CRM system internally and consider our expertise in the rapid development and deployment of new trading technology as one of our core strengths. We have a team of experienced engineers. The supervisors in charge of our research and technology department all graduated from prestigious universities and worked at well-established Internet and software companies before joining us. As of December 31, 2023, we have 495 staff members engaged in research and development-related work. Substantially all of them have a bachelor’s degree or above.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technology-focused, and our management team is technology-savvy. While a large number of members of the management team participate in writing detailed program specifications for new applications, and our senior executives personally track progress on programming projects, this enables us to prioritize key initiatives and achieve rapid turn-around on new projects.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research and development efforts are focused on developing and improving, among other things, our trading capabilities, infrastructure technologies and customer data analysis technologies. To achieve optimal performance from our trading platform, we are regularly upgrading new versions, evaluating platform performance and performing quality assurance testing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activities expose us to various risks. Identifying, measuring and managing risks are critical to minimizing damages to our business, operations and financial condition. Our compliance and legal departments work together with management to identify and manage risks. We have implemented policies and procedures for identifying, measuring and managing risks, which include establishing threshold levels for our most significant risks. Our business exposes us to four broad categories of risks: customer-related risks, trading-related risks, operational risks as well as cyber and information security risks. We are also subject to other risks that could affect our business, financial condition, operations or cash flows in future periods. For additional information, please see Item 3.D “Risk Factors-Risks Related to Our Business and Industry-We may fail to update our risk management policies and procedures as needed and such policies and procedures may otherwise be ineffective, which may expose us to unidentified or unexpected risks.”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Customer-Related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interact with customers on a daily basis, exposing us to risks of customers conducting money laundering activities, fraud and other financial crimes. We therefore implement rigorous KYC and AML measures to compile and periodically update customer profiles and to monitor activities. Once customers make deposits, we adopt the following safeguards to protect our customers’ assets: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Segregation of customer and internal funds</w:t>
      </w:r>
      <w:r>
        <w:rPr>
          <w:rFonts w:ascii="Times New Roman" w:cs="Times New Roman" w:eastAsia="Times New Roman" w:hAnsi="Times New Roman"/>
          <w:sz w:val="18"/>
          <w:szCs w:val="18"/>
          <w:color w:val="auto"/>
        </w:rPr>
        <w:t>. We segregate all customer funds from our internal funds in accounts with a few reputable banks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Zealand, Singapore, Australia, Hong Kong and the U.S. for consolidated accounts. We perform a detailed reconciliation of our customers’ funds on a regular basis to ensure that such funds are properly segregated.</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compliance</w:t>
      </w:r>
      <w:r>
        <w:rPr>
          <w:rFonts w:ascii="Times New Roman" w:cs="Times New Roman" w:eastAsia="Times New Roman" w:hAnsi="Times New Roman"/>
          <w:sz w:val="18"/>
          <w:szCs w:val="18"/>
          <w:color w:val="auto"/>
        </w:rPr>
        <w:t>. Our subsidiary, Wealthn LLC, is a registered investment advisor and an NFA member as well as commodity pool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 and registered commodity trading advisor in the United States. Our subsidiaries, both US Tiger Securities, Inc. and TradeUP Securities, are registered broker-dealers with the SEC and a member of FINRA and SIPC in the United States. Our Singapore subsidiary - Tiger Brokers (Singapore) Pte Ltd (“Tiger Brokers SG”) is a capital markets services license holder regulated by the MAS and an exempt financial adviser under the Financial Advisers Act, 2001 of Singapore. Tiger Brokers SG is also a Clearing Member and Depository Agent of The Central Depository (Pte) Limited as well as Trading Member of Singapore Exchange Securities Trading and Singapore Exchange Derivatives Trading. Our Hong Kong subsidiary, Tiger Brokers (HK) Global Limited is a licensed corporation of SFC holding Type 1 (“Dealing in Securities”), Type 2 (“Dealing in Futures Contracts”), Type 4 (“Advising on Securities”), Type 5 (“Advising on Futures Contracts”) licenses and Type 9 (“Asset Management”). Our Australian subsidiary, Fleming, holds an Australian financial services license. Our Hong Kong subsidiaries, Kastle Limited is a licensed trust and company service provider and is a Trust Company under section 78(1) of the Trustee Ordinance (Cap. 29), Tung Chi Consulting Limited is a licensed insurance broker. For consolidated accounts, we carry out customer due diligence of our customers before establishing any relationship or conducting any transaction, pursuant to the anti-money laundering rules and regulations in New Zealand. See Item 3.D “Risk Factors-Risks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 We, as well as our clearing agents, conduct ongoing customer due diligence and account monitoring as well as other internal controls procedures to comply strictly with applicable rules in relevant jurisdictions. For fully disclosed accounts, our primary clearing agent Interactive Brokers takes the main responsibilities of verifying customers’ identities and other regulatory compliance in the United States.</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customer funds in real name</w:t>
      </w:r>
      <w:r>
        <w:rPr>
          <w:rFonts w:ascii="Times New Roman" w:cs="Times New Roman" w:eastAsia="Times New Roman" w:hAnsi="Times New Roman"/>
          <w:sz w:val="18"/>
          <w:szCs w:val="18"/>
          <w:color w:val="auto"/>
        </w:rPr>
        <w:t>. We generally require funds to be transferred in and out of customers’ own bank accounts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risk of funds flowing into bank accounts of any unrelated third parties. This means that, with limited exceptions, a customer’s trade account name must be the same as his or her bank account name to facilitate any fund transfer. Such measure not only reduces the risk of fraudulent transfer of customer funds into third-party accounts but also minimizes money laundering activities as well as potential violation of foreign exchange regulations in China.</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Tiger Verification</w:t>
      </w:r>
      <w:r>
        <w:rPr>
          <w:rFonts w:ascii="Times New Roman" w:cs="Times New Roman" w:eastAsia="Times New Roman" w:hAnsi="Times New Roman"/>
          <w:sz w:val="18"/>
          <w:szCs w:val="18"/>
          <w:color w:val="auto"/>
        </w:rPr>
        <w:t>. We developed a proprietary Tiger Verification APP in August 2018 that works together with our trading platform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security of customer accounts. Before customers complete transactions, they can enter their passwords and codes generated from Tiger Verification to verify their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Trading-Related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exposed to various trading-related risks arising from our brokerage operations, primarily market risk from financial market volatility and liquidity risk from inability to meet cash flow needs and regulatory requirements.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and risk management team work closely together to monitor our risk exposures throughout the day. We implement risk management measures for each of the major trading-related risks as follows:</w:t>
      </w:r>
    </w:p>
    <w:p>
      <w:pPr>
        <w:spacing w:after="0" w:line="160" w:lineRule="exact"/>
        <w:rPr>
          <w:sz w:val="20"/>
          <w:szCs w:val="20"/>
          <w:color w:val="auto"/>
        </w:rPr>
      </w:pPr>
    </w:p>
    <w:p>
      <w:pPr>
        <w:jc w:val="both"/>
        <w:ind w:left="760" w:hanging="378"/>
        <w:spacing w:after="0" w:line="267"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Market risk is the risk of loss incurred from adverse market movements. The primary market risk factor to which we are exposed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fluctuation of trading volume. As a part of our risk management system, we plan to diversify our business to increase the products and services we offer under our asset management services as well as institutional and corporate services.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risk</w:t>
      </w:r>
      <w:r>
        <w:rPr>
          <w:rFonts w:ascii="Times New Roman" w:cs="Times New Roman" w:eastAsia="Times New Roman" w:hAnsi="Times New Roman"/>
          <w:sz w:val="18"/>
          <w:szCs w:val="18"/>
          <w:color w:val="auto"/>
        </w:rPr>
        <w:t>. Liquidity risk is the risk of losses resulting from the inability to meet current and future cash flow needs. US Tiger Securities,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and TradeUP Securities must maintain a minimum net capital requirement in compliance with the SEC Rule 15c3-1 as well as comply with the SEC Rule 17a-11 and the “early warning levels” for net capital requirements contained therein. Tiger Brokers SG is a capital markets services license holder under the Securities and Futures Act 2001 of Singapore (the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It is also currently in the process of applying for a license under the Payment Services Act 2019, has not commenced any business in any “payment services” as defined under that Act. It is subject to regulation by the Monetary Authority of Singapore (“MAS”).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The main credit risk is the risk exposure related to the margin financing we extend to our clients. Margin financing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securities in the customers’ accounts, but associated credit risk can be heightened during periods of market volatility, low market liquidity and over-concentration of certain securities. During such times, customers who utilize margin financing and who have collateralized their obligations with securities may find their securities portfolio rapidly depreciating in value and may not be sufficient to cover their credit obligations even after fully liquidating their portfolio. We are also exposed to credit risk when our customers execute transactions, such as securities borrowing and lending that can also expose them to risk beyond their invested capital. We have a comprehensive policy implemented to assess and monitor the suitability of investors to engage in the trading activities that we offer. Our credit exposure is to a great extent mitigated by our policy of credit assessment and automatic evaluation of each account throughout the trading day and closing out positions automatically or disabling further trading for accounts that are found to be under-margined.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Operational risk is the risk of loss resulting from inadequate or failed internal processes or controls, human errors or misconducts, system and technology problems or from external events. It also involves non-compliance with regulatory and legal requirements. We manage operational risks by establishing policies and procedures to accomplish timely and efficient processing and obtaining periodic reports from management regarding key processes.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operational risks arise particularly in relation to trading, IT and finance functions. The potential risks relating to trading include routing errors, booking errors, product administration errors and exposure limit breaches.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a comprehensive policy in compliance with the regulatory and legal requirements to assess and monitor the suitability of trading activities on our platform. To mitigate the operational risk, we monitor, detect and predict abnormal trading activities that can potentially impair the continuity of the operations of the market, our counterparts and our own firm. We have developed a business continuity plan to manage and minimize the impact to the business in the event of operational disruptions. Backups and procedures are in place to facilitate the recovery of these systems at our recovery site overseas. See Item 4.B “Business Overview-Our Technology and Infrastructure-Back-end System” for more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additionally formulated a series of internal procedures focused on minimizing operational risks. Our compliance department reviews and approves materials published for investor education, market information and community engagement to prevent the disclosure of any inaccurate information. We also monitor the interactions between our customer representatives and customers for any non-compliance with internal policies and regulatory rules. All customer-facing employees receive compliance training upon joining us and we also provide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compliance trainings on various compliance matters to all employees. An annual training schedule stipulates our training requirements. The compliance team monitor customer interactions to ensure that company policy is observed. We take pride in the level and quality of customer services we provide. We have a dedicated team of customer service personnel that handles customer inquiries about our trading platform via phone call and online message.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and Information Security Risks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malicious technological attacks intended to impact the confidentiality, availability or integrity of our systems and data, including sensitive customer data. Our technology team relies on a layered system of preventive and detective technologies, practices and policies to detect, mitigate and neutralize cyber security threats. Secure access to our customers’ information and other confidential information is paramount to our business success. We therefore maintain strict internal practices, procedures and controls enabling us to better protect our customers’ personal information, such as providing different levels of access rights. We use hardware security machines to encrypt sensitive customer information in our CRM system. Access to our information system is granted to employees on an as-needed basis. We deploy advanced firewall technologies to restrict inappropriate access to our hosting facilities. We frequently monitor our APP, websites and critical servers for any cyberattacks or data breaches. See “Item 3. Key Information – Certain Risks Related to Our Chinese Operations and Operating Structure –If we fail to protect customer data and privacy, our reputation, financial condition and results of operations will be materially and adversely affected” and Item 3.D “Risk Factors – Risks Related to Our Business and Industry – We may fail to protect our platform from cyber-attacks, which may adversely affect our reputation, customer base and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trademark, copyright and trade secret protection laws in China and other jurisdictions, as well as confidentiality procedures and contractual provisions to protect our intellectual properties and our brand. Our intellectual property rights are important to us in distinguishing our brand and services from those of our competitors and contribute to our ability to compete in our target markets. As our brand name gains more recognition among the general public, we will work to increase, maintain and enforce our trademark portfolio as well as software and domain name registrations, the protection of which is important to our reputation and the continued growth of our business. Below is a comprehensive summary of our intellectual property rights.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obtained 13 design patents and 9 invention patents, and had submitted 31 additional patent applications in China. As of March 31, 2024, we had registered 259 trademarks and had about 27 additional trademark applications in China. We had also obtained trademarks in jurisdictions such as Hong Kong, Singapore, Malaysia, EU, Indonesia, India, Philippines, Thailand, Australia and New Zealand, and submitted trademark applications in various jurisdictions. As of March 31, 2024, we had registered about 166 software copyrights and 12 artwork copyrights in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online brokerage market is highly competitive and rapidly evolving. Our primary competitors include online brokers and other firms providing online brokerage services. Nevertheless, we believe that our diverse product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offerings, advanced technology infrastructure, efficient trade execution, top quality customer services and competitive pricing together make us one of the top performers in this market.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some of our competitors may have greater financial resources or a larger customer base than we do, we believe that our proprietary trading platform, comprehensive customer services, innovative products and services, unparalleled user experience, robust infrastructure and advanced technology, and strong brand recognition are powerful competitive strengths in the fast-evolving online brokerage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New Zealand subsidiaries, Tiger Brokers (NZ) Limited and Tiger Fintech (NZ) Limited, have in place professional indemnity insurance and directors’ and officers’ liability insurance, each of which has a limit of indemnity of NZ$1 million and NZ$1 million respectively and covers worldwide (excluding the U.S. and Canada) jurisdictions and territories.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as the insurance described above, in line with general market practice, we do not maintain any business interruption insurance or product liability insurance, nor do we maintain key-man life insurance. We additionally do not maintain any liability insurance or property insurance policies covering students, equipment and facilities for injuries, death or losses due to fire, earthquake, flood or any other disaster. Our Directors consider that our company currently maintains adequate insurance policies. See Item 3.D “Risk Factors-Risks Related to Our Business and Industry-Our insurance coverage may be inadequate to cover risks related to our business and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date of this report, except for the litigation disclosed in Item 3.D “Risk Factors,” we are not a party to, and we are not aware of any threat of, any legal proceeding that, in the opinion of our management, is likely to have a significant effect on our financial position or profitability, nor have we experienced any incident of non-compliance which, in the opinion of our directors, is likely to have a significant effect on our financial position or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comprehensive compliance framework covering marketing compliance, regulatory compliance and AML procedures protects the assets and interests of our customers. Our compliance department carries out routine day-to-day compliance tasks and transaction reporting, business monitoring and customer due diligence to ensure compliance with all applicable laws and regulations. In addition, they monitor complaints and compile responses to these complaints.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compliance department also oversees general compliance with all applicable KYC rules and AML procedures, carries out the compliance policies and prepares reports to any regulatory agencies if needed. Lastly, all compliance employees are required to undergo continuous intensive on-the-job training to become familiar with the latest regulatory environment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experienced seasonality in our business. However, as our brokerage business only began operations in 2015, volatility that may be inherent in the online brokerage industry could be masked by our rapid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summarizes the principal New Zealand, U.S., Singapore, Australia and Hong Kong laws and regulations relevant to our business and operations. Information regarding certain PRC regulations set forth under “Item 3. Key Information – Description of Certain PRC Regulations Affecting Our Business” is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Relating to Securities and Futures Brokerage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Rules of the Exchanges on Which We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money or property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provide “client money or property services” in New Zealand, which are regulated by the Financial Markets Conduct Act 2013 (as amended in March 2021 by the Financial Services Legislation Amendment Act 2019) (“</w:t>
      </w:r>
      <w:r>
        <w:rPr>
          <w:rFonts w:ascii="Times New Roman" w:cs="Times New Roman" w:eastAsia="Times New Roman" w:hAnsi="Times New Roman"/>
          <w:sz w:val="18"/>
          <w:szCs w:val="18"/>
          <w:b w:val="1"/>
          <w:bCs w:val="1"/>
          <w:color w:val="auto"/>
        </w:rPr>
        <w:t>FMCA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client money or property service is:</w:t>
      </w:r>
    </w:p>
    <w:p>
      <w:pPr>
        <w:spacing w:after="0" w:line="22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client money or client property by a person and the holding, payment, or transfer of that client money or client property; and</w:t>
      </w:r>
    </w:p>
    <w:p>
      <w:pPr>
        <w:spacing w:after="0" w:line="22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custodial service (i.e., the holding of client money or client property by a person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trust for, or on behalf of, a client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or another person nominated by C, under an agreement between A and C or between A and another person with whom C has an agreement (whether or not there are also other parties to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Subpart 5B of Part 6 of the FMCA regulates client money or property services by imposing:</w:t>
      </w:r>
    </w:p>
    <w:p>
      <w:pPr>
        <w:spacing w:after="0" w:line="225"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obligations for services for retail clients;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obligations; and</w:t>
      </w:r>
    </w:p>
    <w:p>
      <w:pPr>
        <w:spacing w:after="0" w:line="225" w:lineRule="exact"/>
        <w:rPr>
          <w:rFonts w:ascii="Times New Roman" w:cs="Times New Roman" w:eastAsia="Times New Roman" w:hAnsi="Times New Roman"/>
          <w:sz w:val="18"/>
          <w:szCs w:val="18"/>
          <w:color w:val="auto"/>
        </w:rPr>
      </w:pPr>
    </w:p>
    <w:p>
      <w:pPr>
        <w:ind w:right="6340" w:firstLine="382"/>
        <w:spacing w:after="0" w:line="499" w:lineRule="auto"/>
        <w:tabs>
          <w:tab w:leader="none" w:pos="7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for handling client money and client property. Certain of these obligations are summarized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obligations for services offered to retail clients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of a regulated client money or property service must disclose prescribed information to a retail client:</w:t>
      </w:r>
    </w:p>
    <w:p>
      <w:pPr>
        <w:spacing w:after="0" w:line="225"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receiving client money or client property from or on behalf of the client; or</w:t>
      </w:r>
    </w:p>
    <w:p>
      <w:pPr>
        <w:spacing w:after="0" w:line="225" w:lineRule="exact"/>
        <w:rPr>
          <w:rFonts w:ascii="Times New Roman" w:cs="Times New Roman" w:eastAsia="Times New Roman" w:hAnsi="Times New Roman"/>
          <w:sz w:val="18"/>
          <w:szCs w:val="18"/>
          <w:color w:val="auto"/>
        </w:rPr>
      </w:pPr>
    </w:p>
    <w:p>
      <w:pPr>
        <w:ind w:right="1480" w:firstLine="382"/>
        <w:spacing w:after="0" w:line="500" w:lineRule="auto"/>
        <w:tabs>
          <w:tab w:leader="none" w:pos="7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practicable before, as soon as practicable after receiving client money or client property from or on behalf of the client. A person must not provide information under the above requirement if:</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the information that is false or misleading or is likely to mislead;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omission from the information that is required by the regulations;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or omission is materially adverse from the point of view of a client.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a future matter (including the doing, or not doing, of an act) is misleading if the person making the statement does not have reasonable grounds for making 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Conduct obligations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must, when providing a regulated client money or property service, exercise the care, diligence, and skill that a prudent person engaged in the business of providing the service would exercise in the same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handling client money and client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who receives client money or client property, as part of a client money or property service, must:</w:t>
      </w:r>
    </w:p>
    <w:p>
      <w:pPr>
        <w:spacing w:after="0" w:line="225"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client money or client property, or ensure the client money or client property is held, on trust for the client;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client money is paid promptly into a bank in New Zealand (or into any other prescribed entity) to a designated trust account.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acting as a custodian, appoint a qualified auditor to undertake a statutory client funds assurance report each year, a copy of which is provided to the FMA.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who receives or holds client money on trust for a client must keep, or ensure that there are kept, trust account records that disclose clearly the position of the client money in the trust account.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provider must not use or apply client money or client property received or held on trust for a client by a provider in any way except as expressly directed by the client or by transferring it to the provider’s designated trust account.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client money or client property that is received or held by a provider on trust for a client:</w:t>
      </w:r>
    </w:p>
    <w:p>
      <w:pPr>
        <w:spacing w:after="0" w:line="22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available for the payment of the debts owing to any other creditor of the provider;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to be attached or taken in execution under the order or process of any court at the instance of another creditor of the provider.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of Financial Service Providers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Tiger Brokers (NZ) Limited and Tiger Fintech (NZ) Limited are financial service providers registered on the Financial Services Providers Register established under the Financial Service Providers (Registration and Dispute Resolution) Act 2008. Financial service providers are not licensed in New Zealand, and registration on the New Zealand register of financial service providers does not mean that a provider is subject to active regulation or oversight by a New Zealand regulator.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service providers are required to be members of an approved dispute resolution scheme if they provide financial services to retail customers. Both companies are registered with Financial Services Complaints Limited (“FSCL”). A customer is entitled to raise a complaint directly with FSCL. If this occurs, FSCL will work with the customer and the provider with the aim to reach agreement on any complaints regarding the provision of a financial service. If an agreement cannot be achieved, FSCL will make a decision on the complaint which is binding on the provider. The services provided by FSCL are free of charge for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Rules Relating to Anti-Money Laundering and Countering Financing of Terrorism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Tiger Brokers (NZ) Limited is regulated by the FMA for AML/CFT purposes and recorded on the FMA website as an AML/CFT reporting entity. The AML/CFT Act places obligations upon New Zealand’s reporting entities, including financial institutions to detect and deter money laundering and terrorist financing. Tiger Brokers (NZ) Limited and Tiger Fintech (NZ) Limited are regulated by the FMA for AML/CFT purposes and recorded on the FMA website as AML/CFT reporting entities. The AML/CFT Act places obligations upon New Zealand’s reporting entities, including financial institutions to detect and deter money laundering and terrorist financing.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reporting entity must establish, implement, and maintain an AML/CFT compliance programme that includes internal procedures, policies, and controls to detect money laundering and the financing of terrorism and to manage and mitigate the risk of money laundering and financing of terrorism. Before conducting customer due diligence (i.e., the KYC procedures) or establishing an AML/CFT programme, a reporting entity must first undertake a written risk assessment regarding the risks of money laundering and financing of terrorism that it may reasonably expect to face in the course of its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civil liability act occurs when a reporting entity fails to comply with any of the AML/CFT Act requirements. The FMA has a variety of remedies for civil liability acts including formal warnings, enforceable undertakings, and, on application to the court, injunctions and pecuniary penalties. A reporting entity that engages in conduct constituting a civil liability act commits a criminal offence if the reporting entity engages in that conduct knowingly or recklessly. Further criminal offences are contained in the AML/CFT Act. A reporting entity or person who commits an offence under the AML/CFT Act is liable on conviction to, in the case of an individual, either or both of a term of imprisonment of not more than two years and a fine of up to NZ$0.3 million, and in the case of a body corporate, a fine of up to NZ$5 million.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AML/CFT Act also requires reporting entities to conduct the customer due diligence on upon a customer, any beneficial owner of a customer and any person acting on behalf of a customer.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reporting entity must obtain the prescribed identity information in relation to the relevant persons and take reasonable steps to satisfy itself that the information obtained is correct and, according to the level of risk involved, take reasonable steps to verify any beneficial owner’s identity so that the reporting entity is satisfied that it knows who the beneficial owner is. A reporting entity must also obtain information on the nature and purpose of the proposed business relationship between the customer and the reporting entity and sufficient information to determine whether the customer should be subject to enhanced customer due diligence. Enhanced customer due diligence is required in a number of prescribed circumstances and involves obtaining and verifying additional information, including in relation to source of funds or wealth.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reporting entity must, as soon as practicable after establishing a business relationship or conducting an occasional transaction or activity, take reasonable steps to determine whether the customer or any beneficial owner is a politically exposed person. If a reporting entity determines that a customer or beneficial owner with whom it has established a business relationship is a politically exposed person, then the reporting entity must have senior management approval for continuing the business relationship and must obtain information about the source of wealth or funds of the customer or beneficial owner and take reasonable steps to verify the source of that wealth or those funds.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reporting entity suspects that an activity undertaken by a customer may be relevant to the investigation or prosecution of an offence, or the enforcement of certain legislation, as soon as practicable but no later than 3 working days after forming its suspicion, that activity must be reported to the Commissioner of Police of New Zealand.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6, 2020, the FMA publicly issued a formal warning to Tiger Brokers (NZ) Limited which stated that it had reasonable grounds to believe that Tiger Brokers (NZ) Limited had engaged in conduct constituting a civil liability act under the AML/CFT Act. The formal warning stated that its issuance did not affect the FMA’s ability to consider or impose other appropriate sanctions under the AML/CFT Act. On March 20, 2020, prior to publishing the formal warning, the FMA notified Tiger Brokers (NZ) Limited that it had opened an investigation into Tiger Brokers (NZ) Limited’s AML/CFT Act compliance, which is ongoing. The FMA’s formal warning required Tiger Brokers (NZ) Limited to carry out remedial actions in relation to its AML/CFT Act compliance, which were completed in time by September 30,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on Internet Privacy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2020 controls how “agencies” collect, use, disclose, store and give access to “personal information”. An “agency” is widely defined and includes any individual, public or private sector agency, or court or tribunal that is carrying on business or present in New Zealand, with specified exceptions. ‘Personal information’ means information about an identifiable individual. The Privacy Act covers government agencies, local councils, businesses, and individuals. All personal information is covered, including information about employees. All organizations are required to have a privacy officer to deal with privacy issues.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Privacy Act now clearly states that it has extraterritorial effect. This means that an overseas business or organization that is ‘carrying on business’ in New Zealand will be subject to the Act’s privacy obligations, even if it does not have a physical presence here.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provides for 13 overriding privacy principles. The 13 principles stipulate how information can be collected, used, disclosed and stored, and people’s rights to gain access to that information and ask for it to be corrected. The privacy principles cover: collection of personal information (principles 1-4); storage and security of personal information (principle 5); requests for access to and correction of personal information (principles 6 and 7, plus parts 4 and 5 of the Act); accuracy of personal information (principle 8); retention of personal information (principle 9); use and disclosure of personal information (principles 10 and 11); disclosure of personal information outside New Zealand (principle 12) and, using unique identifiers (principle 13).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an individual feels there has been a breach of the principles he or she can lodge a complaint with the Privacy Commissioner. The Privacy Commissioner investigates the complaint and undertakes a process of conciliation rather than punishment. If the complaint cannot be settled, it may be referred to the Human Rights Review Tribunal, which considers the situation anew. If the Tribunal finds there has been a breach, it may award a range of remedies including damages and restraining orders.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Privacy Act introduces a mandatory privacy breach notification regime for “notifiable privacy breaches”. Notifiable privacy breaches are those that a business or organization believes has caused (or is likely to cause) serious harm. Notifiable privacy breaches require a business or organization to notify the Office of the Privacy Commissioner and affected individuals as soon as possible (unless an exception applies for notifying individuals, for example where it reveals a trade secret or would endanger personal safety). Under the Act, it is an offence to fail to inform the Privacy Commissioner when there has been a notifiable privacy breach. As noted above, the Act clarifies that liability for breach notifications sits with the business or organization, and not the individual employees.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introduces a new privacy principle, principle 12, which regulates how agencies can transfer personal information overseas to foreign entities and individuals. Agencies can only transfer personal information where (1) an individual authorizes disclosure after being expressly told that their personal information might not be protected in the same way as under the Privacy Act, or (2) the discloser reasonably believes that (i) comparable privacy laws exist, (ii) other protections affording comparable privacy protections are in place (i.e. a contract), (iii) the receiver is in a prescribed country or subject to a prescribed scheme, or (iv) the receiver carries on business in New Zealand and is subject to the Privacy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Privacy Act introduces new criminal offences. It is now an offence to mislead an agency to access someone else’s personal information, or falsely pretend to be them or acting under their authority. It will also be an offence for an organization or business to destroy personal information, knowing that a request has been made to access it. The maximum penalty for an offence is NZ$10,000.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Regulations Relating to Securities and Futures Brokerage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regulation, primarily by U.S. federal and state regulatory agencies and certain Self-Regulatory Organization (“SROs”), such as central banks and securities exchanges, that have been charged with the protection of the financial markets and the interests of those participating in those markets. We, along with other larger institutions, have been subject to a broad range of rules and regulations and a climate of heightened regulatory scrutiny, particularly with respect to compliance with laws and regulations, including financial and operational controls and business processes. This scrutiny and related rule-making has resulted in part from the enactment of the Dodd-Frank Wall Street Reform and Consumer Protection Act, or the Dodd-Frank Act, in 2010, which significantly changed the bank regulatory structure of our Company and its thrift subsidiaries. The substance and full impact of the laws and regulations to which we are subject may be affected by changes in the U.S. political landscape, and we expect to continue to incur costs to implement new or phase-in requirements and monitor for continued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regulators are increasingly focused on ensuring that our customer privacy, data protection, information security and cyber security-related policies and practices are adequate to inform consumers of our data collection, use, sharing or security practices, to provide them with choices, if required, about how we use and share their information, and to safeguard their personal information. We maintain systems designed to comply with these privacy, data protection, information security and cyber security requirements, including procedures designed to securely process, transmit and store confidential information and protect against unauthorized access to such information.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brokerage and banking entities are required by the Gramm-Leach-Bliley Act of 1999 to develop, implement, and maintain an information security program with administrative, technical, and physical safeguards designed to protect customer information and to disclose their privacy policies and practices related to sharing customer information with affiliates and non-affiliates. These rules give customers the ability to “opt out” of having non-public information disclosed to third parties or receiving marketing solicitations from affiliates and non-affiliates based on non-public information received from our brokerage and banking entities. </w:t>
      </w:r>
      <w:r>
        <w:rPr>
          <w:rFonts w:ascii="Times New Roman" w:cs="Times New Roman" w:eastAsia="Times New Roman" w:hAnsi="Times New Roman"/>
          <w:sz w:val="18"/>
          <w:szCs w:val="18"/>
          <w:i w:val="1"/>
          <w:iCs w:val="1"/>
          <w:color w:val="auto"/>
        </w:rPr>
        <w:t>The Bank Secrecy Act</w:t>
      </w:r>
      <w:r>
        <w:rPr>
          <w:rFonts w:ascii="Times New Roman" w:cs="Times New Roman" w:eastAsia="Times New Roman" w:hAnsi="Times New Roman"/>
          <w:sz w:val="18"/>
          <w:szCs w:val="18"/>
          <w:color w:val="auto"/>
        </w:rPr>
        <w:t xml:space="preserve">, as amended by the </w:t>
      </w:r>
      <w:r>
        <w:rPr>
          <w:rFonts w:ascii="Times New Roman" w:cs="Times New Roman" w:eastAsia="Times New Roman" w:hAnsi="Times New Roman"/>
          <w:sz w:val="18"/>
          <w:szCs w:val="18"/>
          <w:i w:val="1"/>
          <w:iCs w:val="1"/>
          <w:color w:val="auto"/>
        </w:rPr>
        <w:t>U.S.A. PATRIOT ACT of 2001</w:t>
      </w:r>
      <w:r>
        <w:rPr>
          <w:rFonts w:ascii="Times New Roman" w:cs="Times New Roman" w:eastAsia="Times New Roman" w:hAnsi="Times New Roman"/>
          <w:sz w:val="18"/>
          <w:szCs w:val="18"/>
          <w:color w:val="auto"/>
        </w:rPr>
        <w:t>, or the BSA/USA PATRIOT Act, applies to our brokerage and banking entities and requires financial institutions to develop anti-money laundering programs to assist in the prevention and detection of money laundering and combating terrorism. In order to comply with the BSA/USA PATRIOT Act, we have an AML department that is responsible for developing and implementing our enterprise-wide programs for compliance with the various anti-money laundering and counterterrorist financing laws and us regulations. Our brokerage and banking entities are also subject to U.S. sanctions laws administered by the Office of Foreign Assets Control and we have policies and procedures in place to comply with these 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Regulation and Capital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US Tiger Securities, Inc. and TradeUP Securities, both U.S. broker-dealers, are registered with the SEC and is subject to regulation by the SEC and by SROs, such as FINRA and the securities exchanges of which it is a member, as well as various state regulators. The SEC and other governmental agencies and self-regulatory organizations, as well as state securities commissions in the United States, have the power to conduct administrative proceedings that can result in censure, penalties and fines, disgorgement of profits, restitution to customers, cease-and-desist orders or suspension, termination or limitation of the activities of the regulated entity or its employees. TradeUP Securities is a registered member of The Depository Trust &amp; Clearing Corporation (“DTC”) and National Securities Clearing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Brokerage regulation covers various aspects of brokerage activities, including segregated cash requirements and net capital. TradeUP Securities is a fully disclosed broker-dealer within the meaning of SEC Rule 15c3-3 under the Exchange Act, which requires segregation of funds in a special reserve account for the benefit of customers. US Tiger Securities, Inc. and TradeUP Securities are subject to the Uniform Net Capital Rule, Rule 15c3-1 under the Exchange Act, which requires the maintenance of minimum net capital. Brokerage regulation also covers other brokerage activities, including required books and records, customer suitability, safekeeping of funds and securities, trading, prohibited transactions, public offerings, margin lending, customer qualifications for margin and options transactions, registration of personnel and transactions with affiliates. These net capital requirements are designed to measure the financial soundness and liquidity of broker-dealers. The net capital rule imposes certain requirements that may have the effect of preventing a broker-dealer from distributing or withdrawing capital and may require that prior notice to the regulators be provided prior to making capital withdrawals. Compliance with net capital requirements could limit operations that require the intensive use of capital, such as trading activities and underwriting, and may limit the ability of our broker-dealer subsidiaries to pay dividends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Adviser Regulation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wholly-owned subsidiary, Wealthn LLC, is registered as an investment adviser under </w:t>
      </w:r>
      <w:r>
        <w:rPr>
          <w:rFonts w:ascii="Times New Roman" w:cs="Times New Roman" w:eastAsia="Times New Roman" w:hAnsi="Times New Roman"/>
          <w:sz w:val="18"/>
          <w:szCs w:val="18"/>
          <w:i w:val="1"/>
          <w:iCs w:val="1"/>
          <w:color w:val="auto"/>
        </w:rPr>
        <w:t>the Investment Advisers Act of 1940</w:t>
      </w:r>
      <w:r>
        <w:rPr>
          <w:rFonts w:ascii="Times New Roman" w:cs="Times New Roman" w:eastAsia="Times New Roman" w:hAnsi="Times New Roman"/>
          <w:sz w:val="18"/>
          <w:szCs w:val="18"/>
          <w:color w:val="auto"/>
        </w:rPr>
        <w:t>, as amended with the SEC, or the Investment Advisers Act. As a registered investment adviser, Wealthn LLC is subject to the fiduciary and other obligations imposed under the Investment Advisers Act and the rules and regulations promulgated thereunder, as well as applicable state securities laws. The Investment Advisers Act imposes numerous obligations on registered investment advisers such as Wealthn LLC, including recordkeeping, operational and marketing requirements, disclosure obligations and prohibitions on fraudulent activities. State-level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Attorneys General, state securities regulators and other state level agencies also apply to certain activities of Wealthn LLC.</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Company Act of 1940</w:t>
      </w:r>
      <w:r>
        <w:rPr>
          <w:rFonts w:ascii="Times New Roman" w:cs="Times New Roman" w:eastAsia="Times New Roman" w:hAnsi="Times New Roman"/>
          <w:sz w:val="18"/>
          <w:szCs w:val="18"/>
          <w:color w:val="auto"/>
        </w:rPr>
        <w:t>, as amended, or the Investment Company Act, also imposes stringent governance, compliance, operational, disclosure and related obligations on registered investment companies and their investment advisers, such as Wealthn LLC, and distributor(s) and its affiliated companies. The SEC is authorized to institute proceedings and impose sanctions for violations of the Advisers Act and the Investment Company Act, ranging from fines and censure to termination of an investment adviser’s registration. Non-compliance with the Advisers Act, the Investment Company Act or other federal and state securities laws and regulations could result in investigations, sanctions, disgorgement, fines and reputational damage, as well as temporary or permanent prohibition of certain activities, related client terminations or other sanctions.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Regulations Relating to Securities and Futures Brokerage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 Tiger Brokers SG minimally maintain at least 25% above the actual CAR requirement as a precaution against any sudden turn in the business 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Regulations Relating to Financial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911A (1) of the Corporations Act 2001 in Australia, or the Corporations Act, a person who carries on a financial services business in Australia must generally hold an Australian financial services license, or AFSL, unless a relevant exception applies.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Relevant AFSL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(AU) Pty Limited, ABN 12 007 268 386, is licensed and regulated by Australian Securities and Investment Commission (ASIC), Australian Financial Services License no. 300767 (AFSL). authorizing it to provide various financial services, including financial product advice, dealing, and underwriting, in respect of a variety of financial products. TBAU’s AFSL (No. 300767) authorizes the licensee to carry on a financial services business to:</w:t>
      </w:r>
    </w:p>
    <w:p>
      <w:pPr>
        <w:spacing w:after="0" w:line="176"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product advice for the following classes of financial products: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a financial product 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40" w:hanging="223"/>
        <w:spacing w:after="0"/>
        <w:tabs>
          <w:tab w:leader="none" w:pos="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applying for, acquiring, varying or disposing of a financial product in respect of the following classes of financial products:</w:t>
      </w:r>
    </w:p>
    <w:p>
      <w:pPr>
        <w:spacing w:after="0" w:line="27"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 and</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managed investment scheme only;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acquiring, varying or disposing of a financial product on behalf of another person in respect of the following classes of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1300" w:hanging="274"/>
        <w:spacing w:after="0"/>
        <w:tabs>
          <w:tab w:leader="none" w:pos="13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following custodial or depository services: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custodial or depository services other than investor directed portfolio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retail and wholesale clients.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TBAU provides dealing and custodial services for a variety of financial products including derivatives, foreign exchange contracts, interests in MIS and securities. TBAU is not a market participant of a licensed financial market in Australia so that execution and settlement services are provided by a third party. When a client trades exchange-traded products (e.g., listed company shares), TBAU will act as an intermediary and instruct market participants to enter trades on the exchange according to client orders.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TBAU is authorized under its AFSL to provide general financial product advice to retail and wholesale clients in those authorized financial products.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Fleming, or Fleming Funds Management, holds an AFSL authorizing it to provide various financial services, including financial product advice, dealing and underwriting, in respect of a variety of financial products, including derivatives, government bonds, interests in managed investment schemes (such as collective investment vehicles) and securities, to wholesale clients only (such as institutional investors and high net worth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Substantive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AFSL holders, TBAU and Fleming are subject to the following obligations (among others):</w:t>
      </w:r>
    </w:p>
    <w:p>
      <w:pPr>
        <w:spacing w:after="0" w:line="225"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various financial, capital and audit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a nominated “responsible manager” is allocated responsibility for each financial service provided;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its representatives who provide financial services are adequately trained and competent to do so;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“client money” rules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financial record and order record keeping requirements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it has in place adequate compliance arrangements in respect of the financial services it provides;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financial, technological and human resources to provide the financial services covered by its license;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Australian financial services laws, and to take reasonable steps to ensure that its representatives comply with Australian financial services laws;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things necessary to ensure that the Australian regulated activities are provided efficiently, honestly and fairly;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in place adequate arrangements for the management of conflicts of interest;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risk management systems;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significant breaches of Australian financial services laws, and its AFSL conditions, to the Australian Securities and investments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Securities and Futures Brokerage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HK is a licensed corporation of the Securities and Futures Commission of Hong Kong (“SFC”) holding Type 1 (“Dealing in Securities”), Type 2 (“Dealing in Futures Contracts”), Type 4 (“Advising on Securities”), Type 5 (“Advising on Futures Contracts”) and Type 9 (“Asset Management”) licenses.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Futures Ordinance (“SFO”), including its subsidiary legislation, is the principal legislation regulating the securities and futures industry in Hong Kong. In particular, Part V of the SFO deals with licensing and registration matters. The SFO is administered by SFC which is an independent statutory body in Hong Kong set up to regulate the securities and futures markets and the non-bank leveraged foreign exchange market in Hong Kong.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Companies (Winding Up and Miscellaneous Provisions) Ordinance including its subsidiary legislation provides that SFC is responsible for authorizing the registration of prospectuses for offerings of shares and debentures in Hong Kong and/or granting exemptions from strict compliance with the provisions in the Hong Kong Companies (Winding Up and Miscellaneous Provisions) Ordinance. The SFO provides that SFC is also responsible for authorizing certain securities (including the relevant offering documents) that are not shares or debentures.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Hong Kong securities and futures industry (with respect to listed instruments) is also governed by the rules and regulations introduced and administered by the Hong Kong Stock Exchange and the Hong Kong Futures Exchange (jointly as “HKEX”).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Trust Services Providers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Anti-Money Laundering and Counter-Terrorist Financing Ordinance (Chapter 615 of the Laws of Hong Kong), or the AMLCTFO, trust or company service providers, or TCSPs, in Hong Kong need to apply for a license which is conditional on certain personnel (including the ultimate owners) of such companies having satisfied a “fit and proper” test. The AMLCTFO also requires TCSPs to comply with the applicable statutory customer due diligence and record-keeping requirements. TCSPs are regulated by the Registrar of Companies, through the Hong Kong Companies Registry, and are subject to its oversight.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TCSP is defined in the AMLCTFO to be a corporation which carries on a business providing trust or company services. Trust service as defined encompasses the provision in Hong Kong, by way of business, of the service of acting, or arranging for another person to act (i) as a trustee of an express trust or a similar legal arrangement; or (ii) as a nominee shareholder for a person other than a corporation whose securities are listed on a recognized stock market. On the other hand, company service encompasses the provision in Hong Kong, by way of business, of the service of (i) forming corporations or other legal persons; (ii) acting or arranging for another person to act as a director or a secretary of a corporation, as a partner of a partnership, or in a similar position in relation to other legal persons; and/or (iii) providing a registered office, business address, correspondence or administrative address for a corporation, a partnership or any other legal person or legal arrangement.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TCSP license is usually valid for a period of three years and renewable upon re-assessment of fit and proper requirements. Our indirect wholly-owned subsidiary, Kastle Limited, was granted a TCSP license for a period of three years starting from January 29, 2019 and renewed subsequently, the new TCSP license is valid from 29 January 2022 to 28 January 2025. An application for license renewal must be made at least 60 days before it is due to expire.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licensed TCSPs are required to, on an ongoing basis, comply with its licensing conditions (if any) as well as the relevant provisions in the AMLCTFO and the guidelines issued by the Companies Registry from time to time, including those relating to customer due diligence and record keeping requirements. To this end, the senior management of licensed TCSPs are also required to appoint: (i) a director or senior manager as a compliance office, or CO, who has overall responsibility for the establishment and maintenance of the licensee’s anti-money laundering and counter-terrorist financing systems; and (ii) a senior member of the licensee’s staff as the money laundering reporting officer, or MLRO, who is the central reference point for reporting suspicious transactions.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that the CO and MLRO may discharge their responsibilities, the licensed TCSP’s senior management should ensure as far as practicable that the CO and MLRO are independent of all operational and business functions, normally based in Hong Kong, capable of accessing all available information, fully conversant in the relevant statutory and regulatory requirements and risks, provided with regular access to senior management, and of a sufficient level of seniority and authority. Depending on the scale, operation, nature of business and risk profile of the licensed TCSP, the same person may be appointed as its CO and MLRO. Given the relatively small size of Kastle Limited, Mr. Li Man Lung has been appointed as both its CO and MLRO since October 19,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Zealand imposes income tax on the worldwide income of New Zealand tax residents, and also on all income that is treated as having a New Zealand source for New Zealand income tax purposes derived by non-New-Zealand tax residents. New Zealand does not currently have an express capital gains tax (although such a tax has been considered by various policy makers). The concept of income for New Zealand income tax purposes includes amounts that may be viewed as capital in some other jurisdictions, and in some cases includes deemed or attributable income that may not correlate in terms of timing or quantum with monetary receipts or actual economic gains.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will be treated as being resident in New Zealand for income tax purposes if it is incorporated in New Zealand, has its head office in New Zealand, has its center of management in New Zealand, or its directors, in their capacity as directors, exercise control of the company in New Zealand, even if the directors’ decision-making also occurs outside New Zealand.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income tax for New Zealand tax resident companies, and companies that are not New Zealand tax resident companies but which derive New Zealand sourced income, is currently 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paid by a New Zealand tax resident company can give rise to imputation credits that, subject to sufficient continuity of ownership being maintained in respect of the company, can be attached to dividends that the company pays. Such imputation credits attached to dividends may reduce the amount of New Zealand withholding tax and New Zealand income tax that is payable by the recipient of the dividend.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by a New Zealand tax resident company may be subject to withholding tax. The rate of withholding tax for dividends paid to a shareholder which is not a New Zealand tax resident is up to 30%. It is possible in certain circumstances for a New Zealand tax resident company to pay a supplementary dividend that effectively eliminates the monetary effect of non-resident withholding tax on dividends paid to foreign shareholders who hold a less than 10% interest, where and to the extent, the dividend is fully imputed. No withholding tax or income tax is usually payable when dividends are paid between companies that are both New Zealand tax resident and members of the same wholly owned group of companies, or where a cash dividend with full imputation credits attached is paid to a non-resident who holds at least 10% direct ownership interest of the dividend paying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rate of tax imposed on taxpayers who are tax resident in a jurisdiction that New Zealand has entered into a double tax agreement with may have the rate of New Zealand tax, whether income tax or withholding tax, imposed on them reduced by the terms of that double tax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Zealand also imposes goods and services tax, or GST, on supplies deemed to be made in New Zealand of most goods and services. The rate of GST is usually 15%. GST is also imposed on certain imports of goods and services into New Zealand. Certain supplies such as financial services, as defined, are generally exempt from GST. Goods consumed outside of New Zealand and services supplied to non-resident located outside New Zealand at the time the services are performed, and services physically performed outside New Zealand (excluding remote services) supplied to a New Zealand GST registered person, are generally subject to GST at a reduced rate of 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the Application of the Common Reporting Standard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2014, the Organization for Economic Co-operation and Development, or the OECD, approved the </w:t>
      </w:r>
      <w:r>
        <w:rPr>
          <w:rFonts w:ascii="Times New Roman" w:cs="Times New Roman" w:eastAsia="Times New Roman" w:hAnsi="Times New Roman"/>
          <w:sz w:val="18"/>
          <w:szCs w:val="18"/>
          <w:i w:val="1"/>
          <w:iCs w:val="1"/>
          <w:color w:val="auto"/>
        </w:rPr>
        <w:t>Common Reporting Standard (CRS)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Automatic Exchange of Financial Account Information in Tax Matters (AEOI) </w:t>
      </w:r>
      <w:r>
        <w:rPr>
          <w:rFonts w:ascii="Times New Roman" w:cs="Times New Roman" w:eastAsia="Times New Roman" w:hAnsi="Times New Roman"/>
          <w:sz w:val="18"/>
          <w:szCs w:val="18"/>
          <w:color w:val="auto"/>
        </w:rPr>
        <w:t>to provide a global framework for the collection, reporting, and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account information about persons that invest outside of their jurisdiction of tax residence. This aim of the CRS is to detect and deter offshore tax evasion and the CRS requires financial institutions to carry out certain due diligence and reporting measures, including but not limited to, review of their financial accounts so as to identify the accounts held or controlled by relevant foreign tax residents and collect and, in the case where an AEOI agreement in place between the two jurisdictions requiring the provision of such information, report the relevant information to the local revenue authority for exchange with the jurisdiction(s) of tax residence of the account holder or controlling person.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Zealand Government has made international commitments to implement the CRS in full accordance with the CRS and also the commentary to the CRS with supplements of the aforementioned due diligence and reporting measures. Therefore, both the CRS and the CRS commentary have been directly incorporated into New Zealand law, subject to certain modifications set out in the Tax Administration Act 1994, and the CRS started to apply in New Zealand from July 1, 2017. Further, New Zealand has adopted different standards of due diligence and reporting requirements for different financial accounts. A pre-existing individual account that is a cash value insurance contract or an annuity contract is not required to be reviewed, identified or reported, provided the reporting financial institution is effectively prevented by law from selling such contract to residents of a reportable jurisdiction while the procedures also vary with the value of the accounts.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New Zealand entities, Tiger Brokers (NZ) Limited and Tiger Fintech (NZ) Limited, as New Zealand financial institutions, are required to annually report, with the coverage of the year ended March 31, the account and identity information of account holders that are reportable persons to the New Zealand Inland Revenue Department. This will be exchanged with the person’s jurisdiction(s) of tax residence if New Zealand has an AEOI agreement to provide this information to that jurisdiction or those jurisdictions, and the information about certain individual accounts that the CRS refers to as being “undocumented accounts” where the institution has not been able to identify the person’s tax residency. We have completed all required CRS disclosure reports to the New Zealand Inland Revenue Department.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Dividend Withholding Tax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Double Tax Avoidance Arrangement, and other applicable PRC laws, if a Hong Kong resident enterprise is determined by the competent PRC tax authority to have satisfied the relevant conditions and requirements under the Double Tax Avoidance Arrangement and other applicable laws, the 10% withholding tax on the dividends the Hong Kong resident enterprise receives from a PRC resident enterprise may be reduced to 5% upon conducting prescribed registration procedures with in-charge tax authority. However, based on the </w:t>
      </w:r>
      <w:r>
        <w:rPr>
          <w:rFonts w:ascii="Times New Roman" w:cs="Times New Roman" w:eastAsia="Times New Roman" w:hAnsi="Times New Roman"/>
          <w:sz w:val="18"/>
          <w:szCs w:val="18"/>
          <w:i w:val="1"/>
          <w:iCs w:val="1"/>
          <w:color w:val="auto"/>
        </w:rPr>
        <w:t>Circular on the Issues concerning the Application of the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Clauses of Tax Agreements </w:t>
      </w:r>
      <w:r>
        <w:rPr>
          <w:rFonts w:ascii="Times New Roman" w:cs="Times New Roman" w:eastAsia="Times New Roman" w:hAnsi="Times New Roman"/>
          <w:sz w:val="18"/>
          <w:szCs w:val="18"/>
          <w:color w:val="auto"/>
        </w:rPr>
        <w:t>issued on February 20, 2009 by the SAT, if the relevant PRC tax authorities determine, in their discretion, that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from such reduced income tax rate due to a structure or arrangement that is primarily tax-driven, such PRC tax authorities may adjust the preferential tax treatment; and based on the Announcement of the </w:t>
      </w:r>
      <w:r>
        <w:rPr>
          <w:rFonts w:ascii="Times New Roman" w:cs="Times New Roman" w:eastAsia="Times New Roman" w:hAnsi="Times New Roman"/>
          <w:sz w:val="18"/>
          <w:szCs w:val="18"/>
          <w:i w:val="1"/>
          <w:iCs w:val="1"/>
          <w:color w:val="auto"/>
        </w:rPr>
        <w:t>State Administration of Taxation on Issues Relating to “Beneficial Owner”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Treaties </w:t>
      </w:r>
      <w:r>
        <w:rPr>
          <w:rFonts w:ascii="Times New Roman" w:cs="Times New Roman" w:eastAsia="Times New Roman" w:hAnsi="Times New Roman"/>
          <w:sz w:val="18"/>
          <w:szCs w:val="18"/>
          <w:color w:val="auto"/>
        </w:rPr>
        <w:t>, issued on February 3, 2018 by the SAT, Beneficial Owner means a person who owns and controls income or the Announcement rights or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which the Recognition of Beneficial Owners in Tax Treaties issued on June 29, 2012 by income is generated. It also lays out the SAT negative factors that shall be taken into account when assessing whether a recipient of China-source income is a Beneficial Owner 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treaty. Generally, conduit companies, which are established for the purpose of evading or reducing tax, or transferring or accumulating profits, will not be recognized as beneficial owners and thus are not entitled to the above-mentioned reduced income tax rate of 5% under the Double Tax Avoidance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 regarding Indirect Transfer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February 3, 2015, the State Administration of Taxation, or the SAT, issued the SAT Circular 7. Pursuant to the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is established for the purpose of avoiding payment of PRC enterprise income tax. As a result, gains derived from such indirect transfer may be subject to PRC enterprise income tax. When determining whether there is a “reasonable commercial purpose” of the transaction arrangement, considerations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whether the main value of the equity interest of the relevant offshore enterprise derives directly or indirectly from PRC taxable assets; (ii) whether the assets of the relevant offshore enterprise mainly consists of direct or indirect investment in China or if its income is mainly derived from China; and (iii) whether the offshore enterprise and its subsidiaries directly or indirectly holding PRC taxable assets have real commercial nature evidenced by their actual function and risk exposure. According to the SAT Circular 7, where the payer fails to withhold any or sufficient tax, the transferor shall declare and pay such tax to the tax authority by itself within the statutory time limit. Late payment of applicable tax will subject the transferor to default interest. The SAT Circular 7 does not apply to transactions of sale of shares by investors through a public stock exchange where such shares were acquired on a public stock exchange. On October 17, 2017, the SAT issued the </w:t>
      </w:r>
      <w:r>
        <w:rPr>
          <w:rFonts w:ascii="Times New Roman" w:cs="Times New Roman" w:eastAsia="Times New Roman" w:hAnsi="Times New Roman"/>
          <w:sz w:val="18"/>
          <w:szCs w:val="18"/>
          <w:i w:val="1"/>
          <w:iCs w:val="1"/>
          <w:color w:val="auto"/>
        </w:rPr>
        <w:t>Circular on Issues of Tax Withholding regarding Non-PRC Resident Enterprise Income Tax</w:t>
      </w:r>
      <w:r>
        <w:rPr>
          <w:rFonts w:ascii="Times New Roman" w:cs="Times New Roman" w:eastAsia="Times New Roman" w:hAnsi="Times New Roman"/>
          <w:sz w:val="18"/>
          <w:szCs w:val="18"/>
          <w:color w:val="auto"/>
        </w:rPr>
        <w:t>, or the SAT Circular 37, which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sales of our shares or those of our offshore subsidiaries where non-resident enterprises, being the transferors, were involved.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Enterprise Income Tax</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Enterprise Income Tax Law of the PRC</w:t>
      </w:r>
      <w:r>
        <w:rPr>
          <w:rFonts w:ascii="Times New Roman" w:cs="Times New Roman" w:eastAsia="Times New Roman" w:hAnsi="Times New Roman"/>
          <w:sz w:val="18"/>
          <w:szCs w:val="18"/>
          <w:color w:val="auto"/>
        </w:rPr>
        <w:t>, or the EIT Law, which became effective on January 1, 2008 and was amended on February 24, 2017 and December 29, 2018, and its implementing rules, enterprises are classified as resident enterprises and non-resident enterprises. PRC resident enterprises typically pay enterprise income tax at the rate of 25%, while non-PRC resident enterprises without any branches in the PRC pay an enterprise income tax in connection with their income from the PRC at the tax rate of 10%. An enterprise established outside China but with its “de facto management body” located within China is considered a “resident enterprise,” which means that it is treated in a manner similar to a PRC domestic enterprise for enterprise income tax purposes. The implementing rules of the EIT Law define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a managing body that in practice exercises “substantial and overall management and control over the production and operations, personnel, accounting, and properties” of the enterprise.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EIT Law and the implementation rules provide that an income tax rate of 10% will normally be applicable to dividends payable to investors that are “non-resident enterprises,” and gains derived by such investors, which (i) do not have an establishment or place of business in the PRC or (ii) have an establishment or place of business in the PRC, but the relevant income is not effectively connected with the establishment or place of business to the extent that such dividends and gains are derived from sources within the PRC. Such income tax on the dividends may be reduced pursuant to a tax treaty between China and other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Value-Added Tax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Provisional Regulation of the PRC on Value-Added Tax issued by the State Council, effective on January 1, 1994, which was amended on November 10, 2008, February 6, 2016 and on November 19, 2017, or the Provisional Regulation, and its Implementing Rules, all entities and individuals that are engaged in the sale of goods, the provision of processing, repairs and installation services, sales of services, intangible assets, real property and the importation of goods in the PRC are required to pay a valued-added tax, or VAT. According to the Provisional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the generally applicable VAT rates are simplified as 17%, 11%, 6% and 0%, and the VAT rate applicable to the small-scale taxpayers is 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4, 2018, the Ministry of Finance and the SAT issued the Circular on Adjustment of Value-added Tax Rates. According to which relevant Value-added Tax rates have been reduced from May 1, 2018 and April 1, 2019, such as the deduction rates of 17% and 11% applicable to the taxpayers who have Value-Added taxable sales activities or imported goods have been adjusted to 13% and 9%,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most of our entities were subject to the valued-added tax at the rate of 6% for services provided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Hong Kong subsidiaries and the VIEs and their respective subsidiaries in China.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listing of the Company’s directly and indirectly owned subsidiaries and VIEs as of the date of this annual report is set forth in Exhibit 8.1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Property, Plants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9,709 square feet. In addition, we also have leased properties principally for our operations in Beijing, Auckland, Sydney, Singapore, Malaysia, the State of New York, United States, London, Hong Kong and other cities in China. Our leased premises are leased from unrelated third parties who either have valid titles to the relevant properties or proper authorization from the title holder to sublease the property. We believe that we will be able to obtain adequate facilities, principally through leasing, to accommodate our future expansion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the Consolidated Financial Statements, including the notes thereto, included in this annual report, as well as “Presentation of Financial and Certain Other Information,” Item</w:t>
      </w:r>
    </w:p>
    <w:p>
      <w:pPr>
        <w:ind w:firstLine="8"/>
        <w:spacing w:after="0" w:line="260" w:lineRule="auto"/>
        <w:tabs>
          <w:tab w:leader="none" w:pos="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 Certain Risks Related to Our Chinese Operations and Operating Structure” Item 3.D. “Risk Factors” and Item 4.B. “Business Overview.”</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certain forward-looking statements. Actual results may differ materially from those discussed in such forward-looking statements. Factors that could cause or contribute to such differences include, but are not limited to, those discussed below and elsewhere in this annual report, including in “Item 5.G. Safe Harbor”, “Item 3. Key Information – Certain Risks Related to Our Chinese Operations and Operating Structure”, and “ Item 3.D.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Our proprietary trading platform enables investors to trade in equities and other financial instruments on multiple exchanges around the world.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 platform, all within a few taps or clicks through APP on smartphone, tablet and PC terminals.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provided by ourselves or third parties to our customers to finance their trading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achieved substantial growth since we launched our platform in August 2015. Our total revenues were US$264.5 million, US$225.4 million and US$272.5 million in 2021, 2022 and 2023, respectively. We generated net income of US$14.7 million and US$33.0 million in 2021 and 2023, respectively, and recorded net losses of US$2.3 million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one of the VIEs, Ningxia Xiangshang Rongke Technology Development Co., Ltd., or Ningxia Rongke. To facilitate foreign investment in our business, starting from early 2018, we began to establish an offshore holding structure for our company. As part of the efforts, we incorporated UP Fintech Holding Limited in January 2018, which controls Ningxia Rongke and its subsidiaries through a series of contractual arrangements. See Item 4.A “History and Development of the Company-Reorganization.”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in June 2018, UP Fintech Holding Limited issued Series Angel (in four tranches), Series A, Series B-1, and Series B-2 preferred shares to the shareholders of Ningxia Rongke or their affiliates or designees to replicate the corresponding Series Angel (in four tranches), Series A, Series B, and Series B+ equity interest with preferred rights issued by Ningxia Rongke prior to the reorganization, all of which converted to Class A ordinary shares of the Company in connection with the completion of our initial public offering. UP Fintech Holding Limited also adopted a new share incentive plan, or the 2018 Share Incentive Plan, to replicate and replace the equity incentive plan adopted by Ningxia Rongke in 2014.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business and operating results are affected by general factors affecting the online brokerage industry, which include economic and political conditions, broad trends in business and finance, changes in volume of securities transactions, changes in the markets in which such transactions occur and changes in how such transactions are processed, growth of private wealth of our existing and potential customers, demand for global asset allocation as well as changes in the regulatory regime over the online brokerage industry and the Internet industry. Unfavorable changes in any of these general financial and regulatory conditions, reduction in trading volume in the U.S. and Hong Kong stocks and other financial instruments, unfavorable currency fluctuations and volatility of the trading activity on exchanges in the United States and other countries could negatively affect demand for our services and materially and adversely affect our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believe our results of operations are more directly affected by company specific factors, including our ability to: maintain and expand our customer base globally, maintain and enhance customer engagement, earn commissions for brokerage services and interest income or financing service fees for margin financing, effectively improve technology infrastructure and serve more consolidated accounts, develop a diverse customer base and offer new and innovative products and services, and operate in a cost-effective manner. In addition, the laws, regulations and governmental policies of various jurisdictions may impact our operations, including New Zealand, U.S., PRC, Singapore, Australia and Hong Kong laws and regulations. See Item 4.B “Business Overview” for a summary of the principal applicable laws which may affect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the risks and complexities inherent in doing business in international markets, some of which, such as those associated with an uncertain regulatory environment. Restrictive regulations or government intervention in any of the regions in which we operate (including China, Singapore, Hong Kong and the United States) and the interaction thereof could impact the conduct of security transactions and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expand our operations to new markets, such as Hong Kong, and into new services lines, such as wealth management, in the future. We believe that customers from new markets and customers interested in new services will increase demand for our products and services and, consequentially, may turn these markets and/or products into growth drivers in future years. However, we cannot guarantee that we will be successful in growing our customer base or our operations on our desired timeline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capital markets worldwide may remain volatile or increase in volatility in the coming year due to continued tightening of monetary policy by central banks, increased market interest rates, the prospect or perception of recession or inflation, geopolitical factors such as the war in Ukraine, and other macroeconomic factors. These factors may have a negative impact on the financial position of our customers, which could decrease trading volume and negatively impact demand for our services and, consequently, our commissions, but they may also represent opportunities for us to increase our interest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to our audited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consist of commissions, financing service fees, interest income, and other revenues. The following table sets forth the breakdown of our total revenues, both in absolute amount and as a percentage of our total revenues,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98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98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640" w:type="dxa"/>
            <w:vAlign w:val="bottom"/>
            <w:gridSpan w:val="2"/>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29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71"/>
              </w:rPr>
              <w:t>for</w:t>
            </w:r>
          </w:p>
        </w:tc>
        <w:tc>
          <w:tcPr>
            <w:tcW w:w="9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7"/>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9"/>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147,199</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108,118</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service fees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70,335</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r>
      <w:tr>
        <w:trPr>
          <w:trHeight w:val="247"/>
        </w:trPr>
        <w:tc>
          <w:tcPr>
            <w:tcW w:w="2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264,488</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225,366</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272,508</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r>
      <w:tr>
        <w:trPr>
          <w:trHeight w:val="237"/>
        </w:trPr>
        <w:tc>
          <w:tcPr>
            <w:tcW w:w="2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(18,379 )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164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(18,669 )</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(46,958 )</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36"/>
        </w:trPr>
        <w:tc>
          <w:tcPr>
            <w:tcW w:w="2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246,109</w:t>
            </w:r>
          </w:p>
        </w:tc>
        <w:tc>
          <w:tcPr>
            <w:tcW w:w="24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240" w:type="dxa"/>
            <w:vAlign w:val="bottom"/>
            <w:tcBorders>
              <w:top w:val="single" w:sz="8" w:color="CFF0FC"/>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206,697</w:t>
            </w:r>
          </w:p>
        </w:tc>
        <w:tc>
          <w:tcPr>
            <w:tcW w:w="22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225,550</w:t>
            </w:r>
          </w:p>
        </w:tc>
        <w:tc>
          <w:tcPr>
            <w:tcW w:w="22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100" w:type="dxa"/>
            <w:vAlign w:val="bottom"/>
            <w:tcBorders>
              <w:top w:val="single" w:sz="8" w:color="CFF0FC"/>
            </w:tcBorders>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-513715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-513715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-513715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-513715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-513715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-187960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-187960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commissions from the brokerage services we deliver for customers’ fully disclosed accounts and consolidated accounts. See Item 4.B “Business Overview-Our Core Products and Services-Brokerage Services-Types of Accounts.” We charge commission fees based on the amount of transaction volume, or the number of shares, lots or contracts in each order, which generally vary in accordance with the type of products or services, timing of account activation, eligibility for discounts and other factors. In 2021, 2022 and 2023, the average rate of commissions over trading volume was 0.0364%, 0.0335% and 0.0315%, respectively, which is the ratio of the total commissions to the total trading volume in the same period. The decrease in the average commission rates was primarily due to the lower commissions resulting from the decreased trading volume in the past two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our primary clearing agent, Interactive Brokers, we receive a portion of commission fees paid by our customers every time Interactive Brokers executes and clears a trade order. For consolidated accounts, we receive commissions from customers and pay the execution and clearing fees to our clearing agents. For fully disclosed accounts, every time Interactive Brokers executes and clears a trade, it collects the commissions, deducts a certain portion as execution and clearing fees and returns the rest of the commissions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service fees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service fees include fees Interactive Brokers paid to us regarding the margin financing and securities borrowing and lending activities provided by Interactive Brokers to our fully disclosed account customers for trading purposes. We generally charge a specific rate above the interest rate of the margin loan or funding from the clearing agents. In 2021, 2022 and 2023, the average annualized rate of financing service fees over the average balance of the margin loans provided by the clearing agents was 0.67%, 1.65% and 3.18%, respectively. The increase of financing service fees in 2023 compared with 2022 was primarily due to increasing federal benchmark rates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interest income from margin financing and securities borrowing and lending activities we provided to our consolidated account customers for trading purposes. In 2021, 2022 and 2023, the average annualized rate of our margin financing and our securities borrowing and lending activities provided by us to the consolidated account customers on our platform was 5.97%, 6.86% and 8.16%, respectively. The increase of interest income in 2023 compared with 2022 was primarily due to the increasing federal benchmark rates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other revenues primarily from initial public offering (“IPO”) distribution service, currency exchange service and other service. Revenues from the IPO distribution service are derived from IPO underwriting fees and new share subscription service fees in relation to initial public offerings in the USA and Hong Kong capital markets. IPO distribution revenue is generally recognized when the services are completed. Revenue from currency exchange service is charged to our clients for providing currency exchange service, which was recorded upon the time when the services are rendered to customers. We also earn revenue from promotional and advertisement services, and financial advisory service rendered to customers, which are recorded over the period of service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interest expense by borrowing from other licensed financial institutions and other parties to fund our margin financing business, securities borrowing and lending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cost and expenses, both in absolute amount and as a percentage of total revenues,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4"/>
                <w:szCs w:val="14"/>
                <w:color w:val="auto"/>
              </w:rPr>
            </w:pP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for percentages)​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Execution and clearing</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share-based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101,749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r>
      <w:tr>
        <w:trPr>
          <w:trHeight w:val="25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Occupancy, depreciation and amortization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 and branding</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21"/>
                <w:szCs w:val="2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21,791</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r>
      <w:tr>
        <w:trPr>
          <w:trHeight w:val="279"/>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228,531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2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204,963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192,704</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87"/>
        </w:trPr>
        <w:tc>
          <w:tcPr>
            <w:tcW w:w="46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-1096645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-1079500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-1096645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-1079500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-1096645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-1079500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-1096645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-1079500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-1096645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-1079500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and clearing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Execution and clearing expenses primarily include the fees we pay to clearing agents to execute and clear trades. We only incur execution and clearing expenses for consolidated accounts as we pay a certain portion of the commission we collect from our customers to clearing agents as execution and clearing expenses. We do not incur execution and clearing expenses for fully disclosed accounts as the revenue is recognized on a net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 compensation and benefits expenses include salaries, wages, bonuses, share-based compensation and other benefits for all employees. Our employee compensation and benefits expenses also include salaries, wages, bonuses and other benefits we pay to employees who are in our research and development department, which represent substantially all of our research and development expenses. Research and development expenses primarily consist of salaries and employee benefits, rental, and depreciation expense related to the development of our proprietary trading platform, back-end technology and customer relationship management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 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rental payments on office and data center leases and related occupancy costs, such as utilities. Depreciation and amortization expenses result from the depreciation of fixed assets, such as electronic equipment and office equipment, as well as leasehold improvements, and the amortization of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 and market data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 and market data expenses are primarily related to the fees we pay to stock exchanges and third parties, including the Nasdaq, New York Stock Exchange, Hong Kong Stock Exchange and Shanghai Stock Exchange, to subscribe for market data and news. These expenses also include bandwidth fees, expenses to acquire or maintain servers and data centers as well as other expenses relating to the telecommunication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branding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branding expenses consist primarily of advertising and promotion expenses, payments to business partners pursuant to the revenue-sharing arrangements, customer referral fees and other expenses associated with our marketing and branding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intermediary service expenses, travelling expenses, business entertainment expenses and miscellaneous expenses relating to our facilities and other administrative expenses. Intermediary service fees primarily consist of fees we pay our professional service providers including our lawyers, accountants and consultants.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income before income taxes, both in absolute amount and as a percentage of our total revenues, for the years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0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48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264,488</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225,366</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272,508</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(18,379 )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(18,669 )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(46,958 )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246,109</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206,697</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225,550</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spacing w:after="0"/>
              <w:rPr>
                <w:sz w:val="21"/>
                <w:szCs w:val="2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(228,531 )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(86.5 )</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(204,963 )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(192,704 )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(70.7 )</w:t>
            </w: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19,054</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45,994</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-187960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2022 and 2023, US$0.4 million, US$0.4 million and US$0.6 million of cybersecurity mitigation costs have been expensed (excluding labor costs), respectively. There were no costs due to cybersecurity incidents in 2021, 2022 and 2023, nor was there any impact of cybersecurity incidents on our reportable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subject to income or capital gains tax under the current laws of the Cayman Islands. There are no other taxes likely to be material to us levied by the government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BVI are not subject to income or capital gains tax under the current laws of the BVI. There are no other taxes likely to be material to us levied by the government of the BVI.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New Zealand are subject to an income tax rate of 28% for taxable income earned in New Zealand. Dividends between members of the same wholly owned group are exempt income and therefore are not subject to withholding tax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Hong Kong were subject to Hong Kong profits tax at a rate of 16.5% for taxable income earned in Hong Kong before April 1, 2018. Starting from the financial year commencing on April 1, 2018, the two-tiered profits tax regime took effect, under which the tax rate is 8.25% for assessable profits on the first HK$2 million and 16.5% for any assessable profits in excess of HK$2 million. Hong Kong does not impose a withholding tax on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an income tax rate of 17% for taxable income earned in Singapore. Singapore does not impose a withholding tax on dividends for resident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subsidiaries located in Australia are subject to an income tax rate of 30% for taxable income earned in Australia.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United States are subject to a federal income tax rate of 21% for taxable income earned in the USA. Taxable income apportioned to New York, New York City, and New Jersey is also subject to tax at statutory tax rates of 6.5%, 8.85%, and 11.5%,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PRC subsidiaries and the VIEs, which are considered PRC resident enterprises under PRC tax law, are subject to enterprise income tax on their worldwide taxable income as determined under PRC tax laws and accounting standards, the EIT Law. Under the EIT Law, the standard enterprise income tax rate for domestic enterprises and foreign invested enterprises is 25%. In addition, the EIT Law and its implementing rules permit qualified “State-encouraged High-new Technologies Company,” or the HNTE, to enjoy a reduced 15% EIT rate. The HNTE certificate is effective for a period of three years. Certain PRC subsidiaries, VIEs and VIEs’ subsidiaries, including Beijing U-Tiger Business, Beijing Yixin and Beijing U-Tiger Network, are qualified HNTEs and enjoy a reduced income tax rate of 15% for the three years presented, and Hangzhou U-Tiger, Guangzhou U Tiger and Beijing Xiangshang are qualified HNTEs and enjoy a reduced income tax rate of 15% for the years ended December 31, 2022 and 2023. An entity could re-apply for the HNTE certificate when the prior certificate expires. Historically, all companies successfully re-applied for the certificates when the prior once expired. Our other subsidiaries are subject to income tax rate of 25%, according to EIT Law.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most of our PRC subsidiaries, the VIEs and VIEs’ subsidiaries are subject to value-added taxes, or VAT, on the services they provide at the rate of 6%, plus related surcharges, less any deductible VAT they have already paid or borne.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enterprise income tax law also imposes a withholding income tax on dividends distributed by a foreign investment enterprise (“FIE”) to its immediate holding company outside of the PRC. According to the arrangement between Chinese mainland and HKSAR, dividends paid by an FIE in Chinese mainland to its immediate holding company in HKSAR will be subject to withholding tax at a rate of no more than 5%. Dividends paid from US subsidiaries to their parent company of the US companies is incorporated are subject to US withholding tax at a rate of 30%. Cash dividends paid by a New Zealand incorporated company is subject to 5% withholding under the New Zealand-Singapore Double Tax Agreement. See “Item 3. Key Information – Certain Risks Related to Our Chinese Operations and Operating Structure – We may not be able to obtain certain tax benefits for dividends paid by our PRC subsidiaries to us through our Hong Kong subsidiaries.”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EIT Law, it would be subject to enterprise income tax on its worldwide income at a rate of 25%.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our business, we consider and use adjusted net loss or income as a supplemental measure to review and assess our operating performance. The presentation of the non-GAAP financial measure is not intended to be considered in isolation or as a substitute for the financial information prepared and presented in accordance with U.S. GAAP. We define adjusted net loss or income as net loss or income excluding share-based compensation, impairment loss from equity investments and fair value change from convertible bonds. Such adjustments have no impact on income tax.</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this non-GAAP financial measure because it is used by our management to evaluate our operating performance and formulate business plans. Adjusted net loss or income enables our management to assess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without considering the impact of share-based compensation, impairment loss from equity investments and fair value change from convertible bonds. We also believe that the use of this non-GAAP financial measure facilitate investors’ assessment of our operating performance.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adjusted net loss or income is that they do not reflect all items of income and expense that affect our operations. Share-based compensation, impairment loss from equity investments and fair value change from convertible bonds have been and may continue to be incurred in our business and are not reflected in the presentation of adjusted net loss or income. Further, this non-GAAP financial measure may differ from the non-GAAP financial information used by other companies, including peer companies, and therefore their comparability may be limited.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or construed as alternatives to total operating expenses, net loss or income or any other measure of performance or as an indicator of our operating performance. Investors are encouraged to review this historical non-GAAP financial measure in light of the most directly comparable GAAP measure, as shown below. This non-GAAP financial measure presented here may not be comparable to similarly titled measure presented by other companies. Other companies may calculate similarly titled measure differently, limiting the usefulness of such measure when analyzing our data comparatively. We encourage investors and others to review our financial information in its entirety and not rely on a single financial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 indicated, both in absolute amounts and as percentages of our total revenues. This information should be read together with our consolidated financial statements and related notes included elsewhere in this annual report. The operating results in any period are not necessarily indicative of the results that may be expected for any future period. The table below also sets forth a reconciliation of adjusted net income (loss), a non-GAAP financial measure, to GAAP net income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21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thousands except for percentages)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Commissions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147,199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108,118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92,594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20"/>
                <w:szCs w:val="20"/>
                <w:color w:val="auto"/>
              </w:rPr>
            </w:pPr>
          </w:p>
        </w:tc>
      </w:tr>
      <w:tr>
        <w:trPr>
          <w:trHeight w:val="220"/>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service fees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r>
      <w:tr>
        <w:trPr>
          <w:trHeight w:val="239"/>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70,335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FF0FC"/>
          </w:tcPr>
          <w:p>
            <w:pPr>
              <w:spacing w:after="0"/>
              <w:rPr>
                <w:sz w:val="20"/>
                <w:szCs w:val="20"/>
                <w:color w:val="auto"/>
              </w:rPr>
            </w:pPr>
          </w:p>
        </w:tc>
      </w:tr>
      <w:tr>
        <w:trPr>
          <w:trHeight w:val="223"/>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revenues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264,488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225,366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(18,379 )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(18,669 )</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(46,958 )</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(17.2 )</w:t>
            </w:r>
          </w:p>
        </w:tc>
      </w:tr>
      <w:tr>
        <w:trPr>
          <w:trHeight w:val="22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246,109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93.1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206,697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225,550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Execution and clearing</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(31,144 )</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(15,608 )</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(9,084 )</w:t>
            </w: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r>
      <w:tr>
        <w:trPr>
          <w:trHeight w:val="202"/>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(including 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(87,160 )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(101,749 )</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(100,751 )</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(37.0 )</w:t>
            </w:r>
          </w:p>
        </w:tc>
      </w:tr>
      <w:tr>
        <w:trPr>
          <w:trHeight w:val="212"/>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Occupancy, depreciation and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(6,135 )</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(9,013 )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(9,387 )</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r>
      <w:tr>
        <w:trPr>
          <w:trHeight w:val="220"/>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Communication and market data</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(22,121 )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(27,138 )</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(30,831 )</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(11.3 )</w:t>
            </w:r>
          </w:p>
        </w:tc>
      </w:tr>
      <w:tr>
        <w:trPr>
          <w:trHeight w:val="239"/>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Marketing and branding</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(59,265 )</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(33,122 )</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(14.7 )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(20,860 )</w:t>
            </w: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(7.7 )</w:t>
            </w:r>
          </w:p>
        </w:tc>
      </w:tr>
      <w:tr>
        <w:trPr>
          <w:trHeight w:val="220"/>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(22,706 )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(18,333 )</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(21,791 )</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r>
      <w:tr>
        <w:trPr>
          <w:trHeight w:val="23"/>
        </w:trPr>
        <w:tc>
          <w:tcPr>
            <w:tcW w:w="4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(228,531 )</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(86.5 )</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(204,963 )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(90.9 )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(192,704 )</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(70.7 )</w:t>
            </w:r>
          </w:p>
        </w:tc>
      </w:tr>
      <w:tr>
        <w:trPr>
          <w:trHeight w:val="223"/>
        </w:trPr>
        <w:tc>
          <w:tcPr>
            <w:tcW w:w="4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19,054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45,994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expenses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(4,363 )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(4,289 )</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(12,987 )</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3"/>
        </w:trPr>
        <w:tc>
          <w:tcPr>
            <w:tcW w:w="4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(2,257 )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shd w:val="clear" w:color="auto" w:fill="CFF0FC"/>
          </w:tcPr>
          <w:p>
            <w:pPr>
              <w:spacing w:after="0"/>
              <w:rPr>
                <w:sz w:val="19"/>
                <w:szCs w:val="19"/>
                <w:color w:val="auto"/>
              </w:rPr>
            </w:pPr>
          </w:p>
        </w:tc>
      </w:tr>
      <w:tr>
        <w:trPr>
          <w:trHeight w:val="221"/>
        </w:trPr>
        <w:tc>
          <w:tcPr>
            <w:tcW w:w="4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Add non-GAAP adjustments</w:t>
            </w: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20"/>
                <w:szCs w:val="20"/>
                <w:color w:val="auto"/>
              </w:rPr>
            </w:pPr>
          </w:p>
        </w:tc>
      </w:tr>
      <w:tr>
        <w:trPr>
          <w:trHeight w:val="220"/>
        </w:trPr>
        <w:tc>
          <w:tcPr>
            <w:tcW w:w="4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loss from equity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9"/>
                <w:szCs w:val="19"/>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Fair value change from convertible bonds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(4,195 )</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Non-GAAP Net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24,466</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12,605</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20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43,154</w:t>
            </w: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-3119755</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-3119755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-3119755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-3119755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-2811145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-2811145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-2811145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-2811145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-2811145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-1370965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-1370965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-1370965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-1370965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-1370965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-1062355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-1062355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-1062355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-1062355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-1062355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-753745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-753745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-753745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-753745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-753745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-161925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-161925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-161925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-161925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2021 and 2022 results, refer to the disclosures set forth under the heading “Item 5. Operating and Financial Review and Prospects – A. Operating Results” in our Annual Report on Form 20-F for the year ended December 31, 2022, filed with the SEC on April 26, 2023 and available on the internet site maintained by the SEC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with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increased by 20.9% from US$225.4 million in 2022 to US$272.5 million in 2023. This increase was primarily due to the increase of US$64.1 million in interest income, which benefited from the high interest rate environment.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Commissions were US$92.6 million in 2023, a 14.4% decrease from US$108.1 million in 2022, driven by a decrease in trading volume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activities. Our trading volume decreased from US$323.2 billion in 2022 to US$294.2 billion in 2023.</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Financing service fees. </w:t>
      </w:r>
      <w:r>
        <w:rPr>
          <w:rFonts w:ascii="Times New Roman" w:cs="Times New Roman" w:eastAsia="Times New Roman" w:hAnsi="Times New Roman"/>
          <w:sz w:val="18"/>
          <w:szCs w:val="18"/>
          <w:color w:val="auto"/>
        </w:rPr>
        <w:t>Financing service fees were US$12.2 million in 2023, an increase of 54.1% from US$7.9 million in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interest rates. Financing service fees from margin financing activities increased by 58.8% from US$7.0 million in 2022 to US$11.1 million in 2023, which was mainly attributable to the increased interest rate. Financing service fees from securities lending activities increased by 19.0% from US$0.9 million in 2022 to US$1.1 million in 2023, which was mainly attributable to the increased interest rate.</w:t>
      </w:r>
    </w:p>
    <w:p>
      <w:pPr>
        <w:sectPr>
          <w:pgSz w:w="11900" w:h="16838" w:orient="portrait"/>
          <w:cols w:equalWidth="0" w:num="1">
            <w:col w:w="11240"/>
          </w:cols>
          <w:pgMar w:left="320" w:top="769"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US$149.3 million in 2023, up 75.3% from US$85.2 million in 2022. This was primarily due to increased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increase in interest income from bank deposits. Interest income from securities lending activities increased by 74.1% from US$39.5 million in 2022 to US$68.7 million in 2023, which was mainly attributable to increased interest rates. Interest income from margin financing activities increased by 42.3% from US$36.8 million in 2022 to US$52.3 million in 2023, which was mainly attributable to increased interest rates.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were US$18.4 million in 2023, a decrease of 23.8% from US$24.2 million in 2022. The decrease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IPO distribution incomes.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US$47.0 million, an increase of 151.5% from US$18.7 million in 2022 due to increased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cost and expenses decreased by 6.0% from US$205.0 million in 2022 to US$192.7 million in 2023, due to decreases in marketing and branding expense and execution and clearing expense, partially offset by increases in communication and market data expenses.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Execution and clearing. </w:t>
      </w:r>
      <w:r>
        <w:rPr>
          <w:rFonts w:ascii="Times New Roman" w:cs="Times New Roman" w:eastAsia="Times New Roman" w:hAnsi="Times New Roman"/>
          <w:sz w:val="18"/>
          <w:szCs w:val="18"/>
          <w:color w:val="auto"/>
        </w:rPr>
        <w:t>Execution and clearing expenses were US$9.1 million in 2023, a decrease of 41.8% from US$15.6 million in 2022. This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more self-clearing of US and HK equities and lower trading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expenses were US$100.8 million in 2023, a slight decrease of 1.0%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US$101.7 million in 2022.</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depreciation and amortization. </w:t>
      </w:r>
      <w:r>
        <w:rPr>
          <w:rFonts w:ascii="Times New Roman" w:cs="Times New Roman" w:eastAsia="Times New Roman" w:hAnsi="Times New Roman"/>
          <w:sz w:val="18"/>
          <w:szCs w:val="18"/>
          <w:color w:val="auto"/>
        </w:rPr>
        <w:t>Occupancy, depreciation and amortization expenses were US$9.4 million in 2023, an increase of 4.1%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US$9.0 million in 2022, due to increased rent.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 and market data. </w:t>
      </w:r>
      <w:r>
        <w:rPr>
          <w:rFonts w:ascii="Times New Roman" w:cs="Times New Roman" w:eastAsia="Times New Roman" w:hAnsi="Times New Roman"/>
          <w:sz w:val="18"/>
          <w:szCs w:val="18"/>
          <w:color w:val="auto"/>
        </w:rPr>
        <w:t>Communication and market data expenses were US$30.8 million in 2023, an increase of 13.6% from US$27.1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This increase was due to increased t</w:t>
      </w:r>
      <w:r>
        <w:rPr>
          <w:rFonts w:ascii="Times New Roman" w:cs="Times New Roman" w:eastAsia="Times New Roman" w:hAnsi="Times New Roman"/>
          <w:sz w:val="18"/>
          <w:szCs w:val="18"/>
          <w:color w:val="101214"/>
        </w:rPr>
        <w:t>echnology and infrastructure investments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and branding. </w:t>
      </w:r>
      <w:r>
        <w:rPr>
          <w:rFonts w:ascii="Times New Roman" w:cs="Times New Roman" w:eastAsia="Times New Roman" w:hAnsi="Times New Roman"/>
          <w:sz w:val="18"/>
          <w:szCs w:val="18"/>
          <w:color w:val="auto"/>
        </w:rPr>
        <w:t>Marketing and branding expenses were US$20.9 million in 2023, a decrease of 37.0% from US$33.1 million in 2022. As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slowed down marketing campaign due to weaker global capital markets.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US$21.8 million in 2023, an increase of 18.9% from US$18.3 million in 2022.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expense related to professional service fee and consulting expense in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profit before income taxes of US$46.0 million in 2023, compared with US$2.0 million in 2022. The increase was primarily due to the increase of interest income of t</w:t>
      </w:r>
      <w:r>
        <w:rPr>
          <w:rFonts w:ascii="Times New Roman" w:cs="Times New Roman" w:eastAsia="Times New Roman" w:hAnsi="Times New Roman"/>
          <w:sz w:val="16"/>
          <w:szCs w:val="16"/>
          <w:color w:val="auto"/>
        </w:rPr>
        <w:t>otal revenues</w:t>
      </w:r>
      <w:r>
        <w:rPr>
          <w:rFonts w:ascii="Times New Roman" w:cs="Times New Roman" w:eastAsia="Times New Roman" w:hAnsi="Times New Roman"/>
          <w:sz w:val="18"/>
          <w:szCs w:val="18"/>
          <w:color w:val="auto"/>
        </w:rPr>
        <w:t xml:space="preserve"> and the decrease in execution and clearing expenses and marketing and branding expenses of total operating cost and expenses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income tax expense of US$13.0 million in 2023, compared with income tax expense of US$4.3 million in 2022, primarily due to the 2163.7% year-over-year increase in our income before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our net income was US$33.0 million in 2023, as compared to a net loss of US$2.3 million in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which excluded share-based compensation, fair value change from convertible bonds and impairment loss from equity investments, was US$43.2 million in 2023, as compared to US$12.6 million in 2022. See “Non-GAAP Financial Measure” for more information. See Item 5.A “Operating Results - Non-GAAP Reconciliations.”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are denominated in U.S. dollars and Hong Kong dollars and our expenses are denominated in Renminbi and U.S. dollars. We have not used any derivative financial instruments to hedge exposure to such risk. Although our exposure to foreign exchange risks should be limited in general,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into foreign currency instruments. We did not have any currency hedging instruments as of December 31, 2021, 2022 and 2023, however management monitors movements in exchange rates closely. Also see Item 3.D “Risk Factors” and Item 11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Tiger Securities, Inc. 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Chapter 289 of SFA for (I) dealing in capital markets products that are securities, collective investment schemes, and exchange-traded derivatives contracts; (II) product financing; and (III) providing custodial services, and an exempt financial adviser under the Financial Advisers Act, Chapter 110 of Singapore (the FAA) for advising on investment products and issuing or promulgating analyses/reports on investment products that are securities, collective investment schemes, and exchange-traded derivatives contracts. It is also currently in the process of applying for a license under the Payment Services Act 2019, has not commenced any business in any “payment services” as defined under that Act. It is subject to regulation by the Monetary Authority of Singapore (“MAS”).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through net proceeds from our securities offerings, cash generated from operating activities and historical equity financing activities. As of December 31, 2022 and 2023, our cash and cash equivalents were US$277.7 million and US$322.6 million, respectively. Our cash and cash equivalents primarily consist of cash on hand, demand deposits with financial institutions, term deposits with an original maturity of three months or less and highly liquid investments, which are unrestricted for withdrawal or use, and which have original maturities of three months or less. We believe our current cash and cash equivalents and our anticipated cash flows from operations will be sufficient to meet our anticipated working capital requirements and material cash requirements for over the next 12 months. In the long term, beyond the next 12 months,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or at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various off-balance sheet arrangements in the ordinary course of business, primarily to meet the needs of our clients. These arrangements include the margin financing and borrowing agreements. Clients with margin loans have agreed to allow the Company to pledge collateralized securities in their brokerage accounts, which is generally equal to or in excess of the margin loan. Securities borrowing transactions require the Company to deposit cash with the lender. The cash collateral received from customers for securities borrowings are generally in excess of the market value of the securities borrowed from other brokers. Increases in security prices may cause the fair value of the securities loaned to exceed the amount of cash received as collateral. In the event the customer to these transactions does not return the loaned securities or provide additional cash collateral, we may be exposed to the risk of acquiring the securities at prevailing market prices in order to satisfy our client obligations. The Company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See Note 17 to our financial statements for more information regarding the collateralized transactions.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variable interest in any unconsolidated entity that provides financing, liquidity, market risk or credit support to us or engages in leasing, hedging or product development services with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make additional capital contributions to our PRC subsidiaries, establish new PRC subsidiaries or controlled affiliates and make capital contributions or other payments to these new PRC subsidiaries or controlled affiliates, make loans to our PRC subsidiaries or controlled affiliates, or acquire offshore entities with business activities in China in offshore transactions. However, most of these uses are subject to PRC regulations and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3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Summary Consolidated Statement of Cash Flows Data:</w:t>
            </w:r>
          </w:p>
        </w:tc>
        <w:tc>
          <w:tcPr>
            <w:tcW w:w="1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413,204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258,061</w:t>
            </w: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(6,566 )</w:t>
            </w:r>
          </w:p>
        </w:tc>
      </w:tr>
      <w:tr>
        <w:trPr>
          <w:trHeight w:val="26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2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(3,612 )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(7,751 )</w:t>
            </w:r>
          </w:p>
        </w:tc>
      </w:tr>
      <w:tr>
        <w:trPr>
          <w:trHeight w:val="25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1"/>
                <w:szCs w:val="21"/>
                <w:color w:val="auto"/>
              </w:rPr>
            </w:pPr>
          </w:p>
        </w:tc>
      </w:tr>
      <w:tr>
        <w:trPr>
          <w:trHeight w:val="26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755,004</w:t>
            </w:r>
          </w:p>
        </w:tc>
        <w:tc>
          <w:tcPr>
            <w:tcW w:w="2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259,179</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(12,497 )</w:t>
            </w:r>
          </w:p>
        </w:tc>
      </w:tr>
      <w:tr>
        <w:trPr>
          <w:trHeight w:val="25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(4,335 )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(3,478 )</w:t>
            </w:r>
          </w:p>
        </w:tc>
      </w:tr>
      <w:tr>
        <w:trPr>
          <w:trHeight w:val="250"/>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947,600</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1,700,885</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1,955,729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1,700,885</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1,955,729</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1,939,754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 2023 was US$6.6 million, as compared to net income of US$33.0 million in 2023. The difference was primarily attributable to (i) an increase of US$249.2 million in financial instruments held at fair value in our trading accounts, (ii) an increase of US$109.0 million in receivables from customers due to the increase in margin financing activities, and (iii) a decrease of US$83.1 million in payables to customers resulting from the weaker global capital markets. This was positively impacted by (i) a decrease of US$415.1 million in receivables from brokers, dealers and clearing organizations resulting from the weaker global capital markets and (ii) the US$10.1 million recognized share-based compensation expenses resulting from the options granted to the management and employees.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2022 was US$258.1 million, as compared to net loss of US$2.3 million in 2022. The difference was primarily attributable to (i) an increase of US$159.7 million in financial instruments held at fair value, (ii) an increase of US$77.2 million in receivables from brokers, dealers and clearing organizations resulting from an increase in our user base, and (iii) a decrease of US$32.2 million in payables to brokers, dealers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clearing organizations resulting from the decreased borrowed margin activities from brokers. This was positively impacted by (i) an increase of US$486.9 million in amounts payables to customers resulting from an increase in our user base, (ii) a decrease of US$19.8 million in receivables from customers due to the decrease in margin financing and securities lending activities, and (iii) the US$14.2 million recognized share-based compensation expenses resulting from the options granted to the management and employees.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 2021 was US$413.2 million, as compared to net income of US$14.7 million in 2021. The difference was primarily attributable to (i) an increase of US$292.9 million in receivables from customers resulting from an increase in our user base, (ii) an increase of US$82.0 million in receivables from brokers, dealers and clearing organizations resulting from an increase in our user base and (iii) a decrease of US$52.9 million in payables to brokers, dealers and clearing organizations resulting from the decreased borrowed margin activities form brokers. This was positively impacted by (i) an increase of US$810.4 million in amounts payables to customers resulting from an increase in our user base, (ii) the US$13.4 million recognized share-based compensation expenses resulting from the options granted to the management and employees, and (iii) an increase of US$6.6 million in accrued expenses and other current liabilities due to the increased payroll and welfare, tax payables in connection with the expansion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2023 was US$7.8 million, consisting primarily of (i) the purchase of term deposits and property, equipment and intangible assets of US$7.0 million, (ii) US$0.5 million in payment for long-term investments.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US$3.6 million, consisting primarily of the purchase of property, equipment and intangible assets of US$4.9 million, partially offset by maturity of term deposits of US$2.1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2021 was US$10.9 million, consisting primarily of maturity of term deposits US$33.1 million partially offset by the purchase of term deposits and property, equipment and intangible assets of US$22.4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2023 was US$1.8 million, consisting primarily of proceeds of US$1.7 million received from redeemable non-controlling interests.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2022 was US$4.7 million, consisting primarily of proceeds of US$4.4 million received from redeemable non-controlling interests.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2021 was US$330.9 million, consisting primarily of net proceeds of US$175.4 from follow-on public offering and proceeds of US$154.9 million from issuance of convertible bonds.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were primarily incurred for purchases of servers, equipment and software. Historically, the amount of our capital expenditures has been small. Our capital expenditures were US$5.0 million, US$4.9 million and US$2.8 million in 2021, 2022 and 2023, respectively. We intend to fund our future capital expenditures with our existing cash balance. We will continue to incur capital expenditures as needed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and the VIEs and their respective subsidiaries in China.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UP Fintech’s ability to pay dividends may depend upon dividends paid by our PRC and New Zealand subsidiaries. If our existing PRC or New Zealand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any of our wholly foreign-owned subsidiaries in China may allocate a portion of its after-tax profits based on PRC accounting standards to enterprise expansion funds and staff bonus and welfare funds at its discretion, and the VIEs may allocate a portion of their after-tax profits based on PRC accounting standards to discretionary surplus funds at their discretion. The statutory reserve funds and the discretionary funds are not distributable as cash dividends. Furthermore, the PRC tax authorities may require our subsidiaries to adjust its taxable income under the contractual arrangements it currently has in place with the VIEs in a manner that would materially and adversely affect their ability to pay dividends and other distributions to us.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distributions from our U.S. subsidiaries will be subject to U.S. withholding tax. However, our U.S. subsidiaries have not paid dividends in the past and we have no plans for our U.S. subsidiaries to pay dividends in the foreseeable future.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New Zealand law, our New Zealand subsidiaries may authorize a distribution, including a dividend, at a time, and of any amount, and to any shareholder they think fit, provided that the solvency test and any relevant conditions contained in the New Zealand subsidiaries’ constitution are satisfied. Each of our New Zealand subsidiaries satisfies the solvency test if it is able to pay its debts as they become due in the normal course of business and the value of its assets is greater than the value of its liabilities, including contingent liabilities. The subsidiary’s directors who vote in favor of a dividend must sign a certificate stating that, in their opinion, it will, immediately after the distribution, satisfy the solvency test and the grounds for that opinion. The board must not authorize a dividend in respect of some but not all the shares in a class, or that is of a greater value per share in respect of some shares of a class than it is in respect of other shares of that class, unless the amount of the dividend in respect of a share of that class is in proportion to the amount paid to the company in satisfaction of the liability of the shareholder under the subsidiary’s constitution or under the terms of issue of the share or is required, for a portfolio tax rate entity, as a result of sub-part HM of the Income Tax Act 2007.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salaries and employee benefits, rental, and depreciation expenses related to the development of our proprietary trading platform, back-end technology and customer relationship management system. For the years ended December 31, 2021, 2022 and 2023, US$47.8 million, US$60.1 million and US$63.5 million of research and development costs have been expensed as incurred as the costs qualifying for capitalization have been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our disclosures set forth under Item 3.D “Risk Factors,” Item 4 “Information on the Company,” and elsewhere in this Item 5 “Operating and Financial Review and Prospects” for information regarding the material risks, business developments and strategies, factors, and trends that are most likely to affect our business and results of operations through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2023 for more information on our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income tax and valuation allowance for deferred tax asset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income tax expense based on tax laws in the various jurisdictions in which we operate. In calculating our effective income tax rate, estimates are required regarding the timing and amount of taxable and deductible items which will adjust the pre-tax income earned in various tax jurisdictions. Through our interpretation of local tax regulations, adjustments to pretax income for income earned in various tax jurisdictions are reflected within various tax filings. Although we believe that our estimates and judgments discussed herein are reasonable, actual results may be materially different than the estimated amounts.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amount that is more likely than not a portion of or all of the deferred tax assets will not be realized. The realizability of deferred tax assets requires significant judgment associated with evaluation of past and projected financial performance which incorporates projections of future taxable income.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recognition of share-based compensation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is recognized for all grants of share options and restricted share units. Determining the appropriate valuation model and estimating the fair values of share option grants requires the input of subjective assumptions, including risk-free interest rate, expected stock price volatility, dividend yields, expected term, and forfeiture rates. The expected volatility assumption is based partially upon the historical volatility of our ordinary shares, which may or may not be a true indicator of future volatility. The assumptions used in calculating the fair values of share option grants represent management’s best estimates, but these estimates involve inherent uncertainties and the application of judgment. As a result, if factors change and different assumptions are used, share-based compensation expense could be significantly different from what we recorded in the current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16"/>
                <w:szCs w:val="16"/>
                <w:color w:val="auto"/>
              </w:rPr>
            </w:pPr>
          </w:p>
        </w:tc>
        <w:tc>
          <w:tcPr>
            <w:tcW w:w="43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Tianhua Wu</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0"/>
                <w:szCs w:val="20"/>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Fei Zeng</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Lei Fang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 Liu</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Chia Hung Yang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21"/>
                <w:szCs w:val="21"/>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Ming Liao</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Tianhua Wu </w:t>
      </w:r>
      <w:r>
        <w:rPr>
          <w:rFonts w:ascii="Times New Roman" w:cs="Times New Roman" w:eastAsia="Times New Roman" w:hAnsi="Times New Roman"/>
          <w:sz w:val="18"/>
          <w:szCs w:val="18"/>
          <w:color w:val="auto"/>
        </w:rPr>
        <w:t>has served as our Chief Executive Officer, or CEO, and director since January 2018. Mr. Wu is the founder and CEO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2014. Between 2005 and 2014, Mr. Wu served at Youdao of NetEase Inc., where he was responsible for core search. Mr. Wu has received many honors in the business world. He currently serves as a director for Ningxia Haozhong Management Consulting Center LLP and Beijing Yian Management &amp; Consulting Co., Ltd. Mr. Wu obtained both bachelor’s and master’s degrees in computer science and technology from Tsinghua University.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John Fei Zeng </w:t>
      </w:r>
      <w:r>
        <w:rPr>
          <w:rFonts w:ascii="Times New Roman" w:cs="Times New Roman" w:eastAsia="Times New Roman" w:hAnsi="Times New Roman"/>
          <w:sz w:val="18"/>
          <w:szCs w:val="18"/>
          <w:color w:val="auto"/>
        </w:rPr>
        <w:t>has served as our Chief Financial Officer since October 2018 and served as our director since September 5, 2022. Between 2010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Mr. Zeng worked at the equity sales team of CICC. Between 2012 and 2015, he worked as a Director at UBS Global Capital Market. From 2015 to 2018, he served as an Executive Director in Equity Capital Markets (ECM) at Goldman Sachs, where he was the ECM captain for China fintech and healthcare sectors. Mr. Zeng obtained a B.S. degree in business administration from the University of Southern California and a MBA from New York University.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Lei Fang </w:t>
      </w:r>
      <w:r>
        <w:rPr>
          <w:rFonts w:ascii="Times New Roman" w:cs="Times New Roman" w:eastAsia="Times New Roman" w:hAnsi="Times New Roman"/>
          <w:sz w:val="18"/>
          <w:szCs w:val="18"/>
          <w:color w:val="auto"/>
        </w:rPr>
        <w:t>has served as our director since June 2018. Mr. Fang has served as a vice president of Beijing Rongke since 2016. Before joining us,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regional sales director at Guosen Securities Co., Ltd.’s Beijing Branch from 2007 to 2011, as well as director of business management center and general manager of Majiapu business department from 2012 to 2015. Mr. Lei Fang received his bachelor’s degree in international business from China Institute of Defense Science and Technology.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Jian Liu </w:t>
      </w:r>
      <w:r>
        <w:rPr>
          <w:rFonts w:ascii="Times New Roman" w:cs="Times New Roman" w:eastAsia="Times New Roman" w:hAnsi="Times New Roman"/>
          <w:sz w:val="18"/>
          <w:szCs w:val="18"/>
          <w:color w:val="auto"/>
        </w:rPr>
        <w:t>has served as our independent director since our initial public offering in March 2019. Since 2017, Mr. Liu has served as the Assistant Dean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Institute of Financial Technology of Tsinghua University and the Deputy Director of Sunshine Internet Finance Innovation Research Center. Prior to that, Mr. Liu served as a general manager, vice president and partner of the investment banking division of Hejun Group Co., Ltd., formerly known as Beijing Hejun Venture Advising Co. Ltd., a managing director of Guangzhou Bianjia Brothers Enterprise Investment Management Co., Ltd., a managing director of Huaxia Keystone Financial Consulting Co., Ltd., and a director of Guangdong Hengxing Group. Mr. Liu received an EMBA degree from the School of Economics and Management of Tsinghua University and a bachelor’s degree in law from Xiamen University.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Chia Hung Yang </w:t>
      </w:r>
      <w:r>
        <w:rPr>
          <w:rFonts w:ascii="Times New Roman" w:cs="Times New Roman" w:eastAsia="Times New Roman" w:hAnsi="Times New Roman"/>
          <w:sz w:val="18"/>
          <w:szCs w:val="18"/>
          <w:color w:val="auto"/>
        </w:rPr>
        <w:t>has served as our independent director since January 2023. Mr. Yang is the chief financial officer of Sunrate Holdings Limited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2023. Mr. Yang was the co-founder and president of Black Fish Group Limited from 2017 to 2021. From 2007 to 2017, Mr. Yang served in several chief financial officer positions at US-listed companies including Tuniu Corporation (Nasdaq: TOUR), E-Commerce China Dangdang Inc., and AirMedia Group Inc. Mr. Yang was the chief executive officer of Rock Mobile Corporation from 2004 to 2007, and the chief financial officer of the Asia Pacific region for Cellstar Asia Corporation from 1999 to 2004. Prior to that, Mr. Yang was a senior banker at Goldman Sachs (Asia) L.L.C., Lehman Brothers Asia Limited and Morgan Stanley Asia Limited from 1992 to 1999. Mr. Yang currently also serves as an independent director of Ehang Holdings Limited (Nasdaq: EH), I-Mab (Nasdaq: IMAB), iQIYI, Inc. (Nasdaq: IQ) and Tongcheng Travel Holdings Limited (HKSE: 0780). Mr. Yang received his master’s degree in business administration from the University of California, Los Angeles.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Ming Liao </w:t>
      </w:r>
      <w:r>
        <w:rPr>
          <w:rFonts w:ascii="Times New Roman" w:cs="Times New Roman" w:eastAsia="Times New Roman" w:hAnsi="Times New Roman"/>
          <w:sz w:val="18"/>
          <w:szCs w:val="18"/>
          <w:color w:val="auto"/>
        </w:rPr>
        <w:t>has served as our director since January 2024. Mr. Liao has been a founding partner and director of Prospect Avenue Capital, a late-stage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equity fund manager focusing on the internet industry since July 2016. From February 2014 to February 2015, Mr. Liao served as the chief representative of UBS AG’s Beijing representative office, working at its investment banking division. Prior to joining UBS, Mr. Liao was a director at the investment banking division of Barclays Capital Asia from May 2011 to March 2013. Before Barclays, Mr. Liao was a vice president at The Carlyle Group’s investor relations division from September 2008 to May 2011, responsible for fund raising in China. Prior to joining Carlyle, Mr. Liao was a vice president in the investment banking division of Morgan Stanley Asia from August 2006 to August 2008. Mr. Liao currently serves as an independent director of Gaotu Techedu Inc. (NYSE: GOTU). Mr. Liao obtained his bachelor’s degree in economics from Renmin University of China in 1995, and his master’s degree in public affairs from the Woodrow Wilson School of Public and International Affairs at Princeton University in 2000.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familial relationships among any of the Company’s directors or senior managers set forth above. There are no agreements or understanding between the directors and members of senior management and any of our major shareholders, customers, suppliers or other persons pursuant to which such directors and members of senior management were selected as directors or members of senior management.</w:t>
      </w:r>
    </w:p>
    <w:p>
      <w:pPr>
        <w:spacing w:after="0" w:line="172" w:lineRule="exact"/>
        <w:rPr>
          <w:sz w:val="20"/>
          <w:szCs w:val="20"/>
          <w:color w:val="auto"/>
        </w:rPr>
      </w:pPr>
    </w:p>
    <w:p>
      <w:pPr>
        <w:ind w:left="220" w:hanging="212"/>
        <w:spacing w:after="0"/>
        <w:tabs>
          <w:tab w:leader="none" w:pos="2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we paid an aggregate of RMB2.1million (US$0.3 million), HKD2.0million (US$0.2 million) and US$0.4 million in cash to our executive officers and directors, and US$0.2 million to our non-executive directors. We have not set aside or accrued any amount to provide pension, retirement or other similar benefits to our directors and executive officers. Our PRC, New Zealand, U.S., Singapore and Hong Kong subsidiaries and our PRC VIEs are required by law to make contributions equal to certain percentages of each employee’s salary for his or her pension insurance, medical insurance, unemployment insurance and other statutory benefits and a housing provident fund. New Zealand has a statutory retirement savings scheme, Kiwisaver, in which New Zealand employees may participate.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Share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2018, our board of directors approved the UP Fintech Holding Limited Share Incentive Plan, or the 2018 Share Incentive Plan, to attract and retain the best available personnel, provide additional incentives to employees, directors and consultants, and promote the success of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2018 Share Incentive Plan consists of a share incentive plan for our service providers. The original maximum aggregate number of Class A ordinary shares that could be issued pursuant to all awards under the 2018 Share Incentive Plan was 187,697,314 Class A ordinary shares, which was increased to 254,697,314 Class A ordinary shares by the amendment thereto in December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Performance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2019, we implemented the 2019 Performance Incentive Plan (the “2019 Plan”), which was approved by our board of directors to grant a maximum number of 52,000,000 ordinary shares under the 2019 Plan, to attract and retain the best available personnel, provide additional incentives to employees, directors and consultants, and promote the success of our business. In December 2020, the Company’s board of directors approved amendments to the 2019 Plan adding an additional 10,429,305 ordinary shares for issuance under the 2019 Plan, which were obtained through the Company’s share buyback plan. In May 2021, the Company’s board of directors approved an evergreen option plan which is to increase Class A ordinary shares to the Plan each year starting from 2021 in an amount equal to 1.5% of the total issued and outstanding shares as of December 31 of the immediately preceding year (“Evergreen Option”), and continuing as long as the unissued shares reserved under 2019 Plan account for less than ten percent (10%) of the total then issued and outstanding shares. The 2019 Plan consists of a share incentive plan for our service providers. The maximum aggregate number of Class A ordinary shares that could be issued pursuant to all awards under the 2019 Plan and 2018 Share Incentive Plan was 568,287,985 as of March 2024 (not accounting for future increases under the Evergreen Option) and the Company issued 375,825,957 Class A ordinary shares to the Plans as of March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2024. As of March 31, 2024, 314,623,866 Class A ordinary shares have been granted, excluding awards that were forfeited or cancelled after the relevant grant dates. In addition, as of the date of March 31, 2024, options to purchase 199,230,744 and 25,047,401 Class A ordinary shares have been granted and are outstanding, along with 182,960,972 and 79,827,864 restricted share units have been granted and are unvested.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2019 Plan.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2019 Plan permits the awards of options, share appreciation rights, restricted shares or any other type of awards approved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2019 Plan will be administered by our board of directors, or one or more committees, within its delegated authority, appointed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as the case may be. The committee(s) or the full board of directors will determine all or a part of the matters related to the 2019 Plan, including but not limited to: the participants to receive awards, the form, type and number of awards to be granted to each participant, and the terms and conditions of each award grant.</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2019 Plan are evidenced by an award agreement in writing, approved by the plan administrator, setting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an award that has been duly authorized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officers, employees, consultants and other eligible persons.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at its sole discretion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at its sole discretion determines the exercise price for each award, which is stated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the relevant award agreement or otherwise determined by the plan administrator, such as transfers by will or the laws of descent and distribution.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2019 Plan. </w:t>
      </w:r>
      <w:r>
        <w:rPr>
          <w:rFonts w:ascii="Times New Roman" w:cs="Times New Roman" w:eastAsia="Times New Roman" w:hAnsi="Times New Roman"/>
          <w:sz w:val="18"/>
          <w:szCs w:val="18"/>
          <w:color w:val="auto"/>
        </w:rPr>
        <w:t>Unless terminated earlier, the 2019 Plan has a term of ten years. Our board of directors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terminate the plan. However, no such action may adversely affect in any material way any awards previously granted unless agreed by the recipient.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or</w:t>
            </w: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6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00" w:type="dxa"/>
            <w:vAlign w:val="bottom"/>
          </w:tcPr>
          <w:p>
            <w:pPr>
              <w:spacing w:after="0"/>
              <w:rPr>
                <w:sz w:val="12"/>
                <w:szCs w:val="12"/>
                <w:color w:val="auto"/>
              </w:rPr>
            </w:pPr>
          </w:p>
        </w:tc>
        <w:tc>
          <w:tcPr>
            <w:tcW w:w="2660" w:type="dxa"/>
            <w:vAlign w:val="bottom"/>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80" w:type="dxa"/>
            <w:vAlign w:val="bottom"/>
          </w:tcPr>
          <w:p>
            <w:pPr>
              <w:spacing w:after="0"/>
              <w:rPr>
                <w:sz w:val="12"/>
                <w:szCs w:val="12"/>
                <w:color w:val="auto"/>
              </w:rPr>
            </w:pPr>
          </w:p>
        </w:tc>
        <w:tc>
          <w:tcPr>
            <w:tcW w:w="2660" w:type="dxa"/>
            <w:vAlign w:val="bottom"/>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00" w:type="dxa"/>
            <w:vAlign w:val="bottom"/>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Katherine Wei Wu</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11, 2019</w:t>
            </w:r>
          </w:p>
        </w:tc>
        <w:tc>
          <w:tcPr>
            <w:tcW w:w="180" w:type="dxa"/>
            <w:vAlign w:val="bottom"/>
            <w:shd w:val="clear" w:color="auto" w:fill="CFF0FC"/>
          </w:tcPr>
          <w:p>
            <w:pPr>
              <w:spacing w:after="0"/>
              <w:rPr>
                <w:sz w:val="19"/>
                <w:szCs w:val="19"/>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10, 2029</w:t>
            </w:r>
          </w:p>
        </w:tc>
        <w:tc>
          <w:tcPr>
            <w:tcW w:w="0" w:type="dxa"/>
            <w:vAlign w:val="bottom"/>
          </w:tcPr>
          <w:p>
            <w:pPr>
              <w:spacing w:after="0"/>
              <w:rPr>
                <w:sz w:val="1"/>
                <w:szCs w:val="1"/>
                <w:color w:val="auto"/>
              </w:rPr>
            </w:pPr>
          </w:p>
        </w:tc>
      </w:tr>
      <w:tr>
        <w:trPr>
          <w:trHeight w:val="220"/>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Lei Fang</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US$0.00001</w:t>
            </w: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 2015</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0" w:type="dxa"/>
            <w:vAlign w:val="bottom"/>
          </w:tcPr>
          <w:p>
            <w:pPr>
              <w:spacing w:after="0"/>
              <w:rPr>
                <w:sz w:val="1"/>
                <w:szCs w:val="1"/>
                <w:color w:val="auto"/>
              </w:rPr>
            </w:pPr>
          </w:p>
        </w:tc>
      </w:tr>
      <w:tr>
        <w:trPr>
          <w:trHeight w:val="239"/>
        </w:trPr>
        <w:tc>
          <w:tcPr>
            <w:tcW w:w="1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US$0.00001</w:t>
            </w:r>
          </w:p>
        </w:tc>
        <w:tc>
          <w:tcPr>
            <w:tcW w:w="20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4, 2016</w:t>
            </w:r>
          </w:p>
        </w:tc>
        <w:tc>
          <w:tcPr>
            <w:tcW w:w="18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3, 2026</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US$0.00001</w:t>
            </w: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2016</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39"/>
        </w:trPr>
        <w:tc>
          <w:tcPr>
            <w:tcW w:w="1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US$0.0001</w:t>
            </w:r>
          </w:p>
        </w:tc>
        <w:tc>
          <w:tcPr>
            <w:tcW w:w="20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 2018</w:t>
            </w:r>
          </w:p>
        </w:tc>
        <w:tc>
          <w:tcPr>
            <w:tcW w:w="18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2028</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US$0.20000</w:t>
            </w: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 2019</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 2028</w:t>
            </w:r>
          </w:p>
        </w:tc>
        <w:tc>
          <w:tcPr>
            <w:tcW w:w="0" w:type="dxa"/>
            <w:vAlign w:val="bottom"/>
          </w:tcPr>
          <w:p>
            <w:pPr>
              <w:spacing w:after="0"/>
              <w:rPr>
                <w:sz w:val="1"/>
                <w:szCs w:val="1"/>
                <w:color w:val="auto"/>
              </w:rPr>
            </w:pPr>
          </w:p>
        </w:tc>
      </w:tr>
      <w:tr>
        <w:trPr>
          <w:trHeight w:val="23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Lei Huang</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May 1, 2020</w:t>
            </w:r>
          </w:p>
        </w:tc>
        <w:tc>
          <w:tcPr>
            <w:tcW w:w="18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30, 2030</w:t>
            </w:r>
          </w:p>
        </w:tc>
        <w:tc>
          <w:tcPr>
            <w:tcW w:w="0" w:type="dxa"/>
            <w:vAlign w:val="bottom"/>
          </w:tcPr>
          <w:p>
            <w:pPr>
              <w:spacing w:after="0"/>
              <w:rPr>
                <w:sz w:val="1"/>
                <w:szCs w:val="1"/>
                <w:color w:val="auto"/>
              </w:rPr>
            </w:pPr>
          </w:p>
        </w:tc>
      </w:tr>
      <w:tr>
        <w:trPr>
          <w:trHeight w:val="220"/>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Chia Hung Yang</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23, 2023</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22, 2033</w:t>
            </w:r>
          </w:p>
        </w:tc>
        <w:tc>
          <w:tcPr>
            <w:tcW w:w="0" w:type="dxa"/>
            <w:vAlign w:val="bottom"/>
          </w:tcPr>
          <w:p>
            <w:pPr>
              <w:spacing w:after="0"/>
              <w:rPr>
                <w:sz w:val="1"/>
                <w:szCs w:val="1"/>
                <w:color w:val="auto"/>
              </w:rPr>
            </w:pPr>
          </w:p>
        </w:tc>
      </w:tr>
      <w:tr>
        <w:trPr>
          <w:trHeight w:val="23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Jian Liu</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15, 2021</w:t>
            </w:r>
          </w:p>
        </w:tc>
        <w:tc>
          <w:tcPr>
            <w:tcW w:w="18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14, 2031</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19,2022</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18,2032</w:t>
            </w:r>
          </w:p>
        </w:tc>
        <w:tc>
          <w:tcPr>
            <w:tcW w:w="0" w:type="dxa"/>
            <w:vAlign w:val="bottom"/>
          </w:tcPr>
          <w:p>
            <w:pPr>
              <w:spacing w:after="0"/>
              <w:rPr>
                <w:sz w:val="1"/>
                <w:szCs w:val="1"/>
                <w:color w:val="auto"/>
              </w:rPr>
            </w:pPr>
          </w:p>
        </w:tc>
      </w:tr>
      <w:tr>
        <w:trPr>
          <w:trHeight w:val="23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Ming Liao</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10, 2024</w:t>
            </w:r>
          </w:p>
        </w:tc>
        <w:tc>
          <w:tcPr>
            <w:tcW w:w="180" w:type="dxa"/>
            <w:vAlign w:val="bottom"/>
            <w:shd w:val="clear" w:color="auto" w:fill="CFF0FC"/>
          </w:tcPr>
          <w:p>
            <w:pPr>
              <w:spacing w:after="0"/>
              <w:rPr>
                <w:sz w:val="20"/>
                <w:szCs w:val="20"/>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9, 2034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current term of these employment agreements will be until the next shareholders meeting, unless terminated earlier pursuant to the</w:t>
      </w:r>
    </w:p>
    <w:p>
      <w:pPr>
        <w:sectPr>
          <w:pgSz w:w="11900" w:h="16838" w:orient="portrait"/>
          <w:cols w:equalWidth="0" w:num="1">
            <w:col w:w="11240"/>
          </w:cols>
          <w:pgMar w:left="320" w:top="769"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 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consist of six directors. A director is not required to hold any shares in our company to qualify to serve as a director. A director may vote with respect to any contract, proposed contract, or arrangement in which he or she is materially interested. A director may not exercise all the powers of our company to borrow money, mortgage its business, property and uncalled capital and issue debentures or other securities whenever money is borrowed or as security for any obligation of our company or of any third party. 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Diversity Matrix</w:t>
            </w: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40" w:type="dxa"/>
            <w:vAlign w:val="bottom"/>
            <w:gridSpan w:val="3"/>
          </w:tcPr>
          <w:p>
            <w:pPr>
              <w:ind w:left="382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2024)</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Country of Principal Executive Offices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Private Issuer</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Disclosure Prohibited under Home Country Law</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Did Not Disclose</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0" w:type="dxa"/>
            <w:vAlign w:val="bottom"/>
          </w:tcPr>
          <w:p>
            <w:pPr>
              <w:spacing w:after="0"/>
              <w:rPr>
                <w:sz w:val="1"/>
                <w:szCs w:val="1"/>
                <w:color w:val="auto"/>
              </w:rPr>
            </w:pPr>
          </w:p>
        </w:tc>
      </w:tr>
      <w:tr>
        <w:trPr>
          <w:trHeight w:val="10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3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hereof, the Company does not meet the diversity objectives of Nasdaq Rule 5605(f)(2), due in part to the resignation of Ms. Xian Wang from the Company’s board of directors in 2022. The Company is committed to evaluating board candidates in light of the current composition of the board and to considering characteristics such as independence, knowledge, skills, experience and diversity. We intend to undertake reasonable efforts to meet the diversity objectives of Rule 5605(f)(2)(B) and (D), as applicable, in the coming year, but we may not achieve this goal.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three committees: an audit committee, a compensation committee and a nominating and corporate governance committee. Charters have been adopted for each committee. Each committee’s members and functions are described below.</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Chia Hung Yang, Mr. Jian Liu and Mr. Ming Liao. Mr. Chia Hung Yang is the chairman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Mr. Chia Hung Yang, Mr. Jian Liu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Ming Liao satisfy the “independence” requirements of Rule 5605(c)(2) of the Listing Rules of The Nasdaq Stock Market LLC and Rule 10A-3 under the Exchange Act. We have determined that Mr. Chia Hung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0" w:lineRule="exact"/>
        <w:rPr>
          <w:sz w:val="20"/>
          <w:szCs w:val="20"/>
          <w:color w:val="auto"/>
        </w:rPr>
      </w:pPr>
    </w:p>
    <w:p>
      <w:pPr>
        <w:ind w:left="114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Tianhua Wu, Mr. John Fei Zeng and Mr. Lei Fang. Mr. Tianhua Wu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our compensation committee. The compensation committee assists the board in reviewing and approving the compensation structure, including all forms of compensation, relating to our directors and executive officers. Our CEO may not be present at any committee meeting during which his compensation is deliberated. The compensation committee is responsible for, among other things:</w:t>
      </w:r>
    </w:p>
    <w:p>
      <w:pPr>
        <w:spacing w:after="0" w:line="182"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CEO and other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Tianhua Wu, Mr. John Fei Zeng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Mr. Lei Fang. Mr. Tianhua Wu is the chairman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2" w:lineRule="exact"/>
        <w:rPr>
          <w:sz w:val="20"/>
          <w:szCs w:val="20"/>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140" w:hanging="383"/>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and will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 See Item 6.A “Directors and Senior Management” for additional information about our current directors and Item 7.B “Related Party Transactions” for additional information about employment agreements for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our risk management activities. While our board of directors oversees our risk management, our senior management is responsible for day-to-day risk management processes. For example, we have a security department that oversees our cybersecurity risks, and we have a risk control department for oversight risks. Management reports to the board on its risk oversight initiatives and observations. We believe this division of responsibilities is the most effective approach for addressing the risks we face. Our board of directors and committees of the board of directors meet regularly with senior management to discuss risks affecting or likely to affect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periodically reviewing the board’s leadership structure in light of the specific characteristics of the Company and recommending any changes to the board for approval, and discussing the effect on the board’s leadership structure of the board’s role in risk oversight of the Company. Our audit committee is responsible for reviewing and discussing the Company’s policies with respect to risk assessment and risk management, as well as for oversight of risks impacting the Company’s financial statements. Our compensation committee is responsible for periodically reviewing the Company’s compensation policies and practices in order to assess whether such policies and practices create risks that are reasonably likely to have a material adverse effect on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1,134 and 1,040 employees as of December 31, 2021 and 2022 respectively. As of December 31, 2023, we had 1,109 employees, with 911 based in Chinese mainland and Hong Kong, 76 based in the United States, 51 based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Singapore, 40 based in New Zealand, 19 based in Australia and 12 based in another country. Below is a breakdown of employees by their departments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260" w:type="dxa"/>
            <w:vAlign w:val="bottom"/>
          </w:tcPr>
          <w:p>
            <w:pPr>
              <w:spacing w:after="0"/>
              <w:rPr>
                <w:sz w:val="13"/>
                <w:szCs w:val="13"/>
                <w:color w:val="auto"/>
              </w:rPr>
            </w:pPr>
          </w:p>
        </w:tc>
        <w:tc>
          <w:tcPr>
            <w:tcW w:w="2680" w:type="dxa"/>
            <w:vAlign w:val="bottom"/>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90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7"/>
        </w:trPr>
        <w:tc>
          <w:tcPr>
            <w:tcW w:w="6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38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and technology</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legal and finance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and customer support</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60" w:type="dxa"/>
            <w:vAlign w:val="bottom"/>
          </w:tcPr>
          <w:p>
            <w:pPr>
              <w:spacing w:after="0"/>
              <w:rPr>
                <w:sz w:val="21"/>
                <w:szCs w:val="21"/>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FF0FC"/>
            </w:tcBorders>
            <w:shd w:val="clear" w:color="auto" w:fill="CFF0FC"/>
          </w:tcPr>
          <w:p>
            <w:pPr>
              <w:spacing w:after="0"/>
              <w:rPr>
                <w:sz w:val="24"/>
                <w:szCs w:val="24"/>
                <w:color w:val="auto"/>
              </w:rPr>
            </w:pPr>
          </w:p>
        </w:tc>
        <w:tc>
          <w:tcPr>
            <w:tcW w:w="2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38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individual employment contracts with selected employees to cover matters including non-competition and confidentiality arrangements. We generally formulate our employees’ remuneration package to include salary and benefits. We provide our employees with social security benefits in accordance with all applicable regulations and internal policies. None of our employees work under any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i w:val="1"/>
          <w:iCs w:val="1"/>
          <w:color w:val="auto"/>
        </w:rPr>
        <w:t>Share Ownership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rules and regulations of the SEC, of our ordinary shares, on a fully diluted and as-converted basis, as of March 31, 2024, by:</w:t>
      </w:r>
    </w:p>
    <w:p>
      <w:pPr>
        <w:spacing w:after="0" w:line="162" w:lineRule="exact"/>
        <w:rPr>
          <w:sz w:val="20"/>
          <w:szCs w:val="20"/>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includes the power to direct the voting or the disposition of the securities or to receive the economic benefit of ownership of the securities. Except as indicated below, and subject to applicable community property laws, the persons named in the table have the sole power to direct the voting or the disposition of the ordinary shares or to receive the economic benefit of ownership of the ordinary shares shown as beneficially owned by them.</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7"/>
                <w:szCs w:val="17"/>
                <w:color w:val="auto"/>
              </w:rPr>
            </w:pP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Class A Number</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0" w:type="dxa"/>
            <w:vAlign w:val="bottom"/>
          </w:tcPr>
          <w:p>
            <w:pPr>
              <w:spacing w:after="0"/>
              <w:rPr>
                <w:sz w:val="1"/>
                <w:szCs w:val="1"/>
                <w:color w:val="auto"/>
              </w:rPr>
            </w:pPr>
          </w:p>
        </w:tc>
      </w:tr>
      <w:tr>
        <w:trPr>
          <w:trHeight w:val="232"/>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ADS Number</w:t>
            </w:r>
          </w:p>
        </w:tc>
        <w:tc>
          <w:tcPr>
            <w:tcW w:w="120" w:type="dxa"/>
            <w:vAlign w:val="bottom"/>
          </w:tcPr>
          <w:p>
            <w:pPr>
              <w:spacing w:after="0"/>
              <w:rPr>
                <w:sz w:val="20"/>
                <w:szCs w:val="20"/>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0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Major Shareholders</w:t>
            </w:r>
          </w:p>
        </w:tc>
        <w:tc>
          <w:tcPr>
            <w:tcW w:w="16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Xiaomi Corporation</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250,641,392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Tigerex Holding Limited</w:t>
            </w:r>
            <w:r>
              <w:rPr>
                <w:rFonts w:ascii="Times New Roman" w:cs="Times New Roman" w:eastAsia="Times New Roman" w:hAnsi="Times New Roman"/>
                <w:sz w:val="21"/>
                <w:szCs w:val="21"/>
                <w:color w:val="auto"/>
                <w:vertAlign w:val="superscript"/>
              </w:rPr>
              <w:t>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12,050,451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180,756,765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Tianhua Wu</w:t>
            </w:r>
            <w:r>
              <w:rPr>
                <w:rFonts w:ascii="Times New Roman" w:cs="Times New Roman" w:eastAsia="Times New Roman" w:hAnsi="Times New Roman"/>
                <w:sz w:val="21"/>
                <w:szCs w:val="21"/>
                <w:color w:val="auto"/>
                <w:vertAlign w:val="superscript"/>
              </w:rPr>
              <w:t>4 5 6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467,769,035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Fei Zeng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Lei Fang</w:t>
            </w:r>
            <w:r>
              <w:rPr>
                <w:rFonts w:ascii="Times New Roman" w:cs="Times New Roman" w:eastAsia="Times New Roman" w:hAnsi="Times New Roman"/>
                <w:sz w:val="21"/>
                <w:szCs w:val="21"/>
                <w:color w:val="auto"/>
                <w:vertAlign w:val="superscript"/>
              </w:rPr>
              <w:t>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1,413,066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Ming Liao</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Chia Hung Yang</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Jian Liu</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 directors and executive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officers as a group</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17,986,397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496,965,025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twenty votes per share on all matters submitted to them for a vote. Our Class A ordinary shares and Class B ordinary shares vote together as a single class on all matters submitted to a vote of our shareholders, except as may otherwise be required by law.</w:t>
      </w:r>
    </w:p>
    <w:p>
      <w:pPr>
        <w:sectPr>
          <w:pgSz w:w="11900" w:h="16838" w:orient="portrait"/>
          <w:cols w:equalWidth="0" w:num="1">
            <w:col w:w="11240"/>
          </w:cols>
          <w:pgMar w:left="320" w:top="769"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shares</w:t>
      </w:r>
    </w:p>
    <w:p>
      <w:pPr>
        <w:spacing w:after="0" w:line="225"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set forth in this column include Class A shares represented by our outstanding ADSs held by each shareholder.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with respect to Xiaomi Corporation is derived from a Schedule 13G filed with the SEC by Xiaomi Corporation, People Better Limited, and Fast Pace Limited on February 13, 2020. Xiaomi Corporation, a Cayman Islands company listed on the Hong Kong Stock Exchange (stock code: 01810), through its wholly-owned BVI company, Fast Pace Limited, holds 100% of the equity interests in People Better Limited.</w:t>
      </w:r>
    </w:p>
    <w:p>
      <w:pPr>
        <w:spacing w:after="0" w:line="179"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180,756,765 Class A ordinary shares held by Tigerex Holding Limited, a BVI company. Mr. Binsen Tang, a PRC resident, is a director of, and has the ultimate control in, Tigerex Holding Limited. 180,756,765 Class A ordinary shares were in the form of ADS.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(i) 240,000,000 Class A Ordinary Shares in the form of ADSs held by Sky Fintech Holding Limited, which are beneficially owned by Mr. Tianhua Wu through Tiger Family Trust; (ii) 190,004,640 Class A Ordinary Shares in the form of ADSs issued under the UP Fintech Holding Limited Share Incentive Plan and the UP Fintech Holding Limited 2019 Performance Incentive Plan of the Issuer (the “Plans”) with the voting rights attached thereto irrevocably entrusted to Mr. Tianhua Wu; and (iii) 37,764,395 Class A Ordinary Shares held by Kastle Limited, a subsidiary of the Company, for the benefit of certain participants of the Plans, with the voting rights attached thereto irrevocably entrusted to Mr. Tianhua Wu.</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97,611,722 Class B Ordinary Shares held by Sky Fintech Holding Limited, which are beneficially owned by Mr. Tianhua Wu through Tiger Family Trust. Sky Fintech Holding Limited is indirectly wholly-owned by Lightspeed Rise Holdings Limited, a BVI company, through its wholly-owned subsidiary, Sky Tiger Investment Holding Limited, a BVI company. Lightspeed Rise Holdings Limited is controlled by Tiger Family Trust, a trust established under the laws of Hong Kong and managed by Kastle Limited as the trustee. Mr. Tianhua Wu is the settlor of the Tiger Family Trust and Mr. Tianhua Wu and his family are the trust’s beneficiaries. Under the terms of this trust, Mr. Tianhua Wu has the power to direct the trustee with respect to the retention or disposal of, and the exercise of any voting and other rights attached to, the shares held by Sky Fintech Holding Limited in our company.</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2023, Mr. Tianhua Wu filed with the SEC a Form 144 (SEC File Number: 001-38833) in accordance with Rule 144 under the Securities Act of 1933, as amended. The filing disclosed Mr. Tianhua Wu's intention to sell up to 10 million ADSs under a plan intended to satisfy the affirmative defense conditions of Rule 10b5–1(c) under the Securities Exchange Act of 1934, as amended. Subsequently, on September 7, 2023, a Form 6-K was furnished to provide additional clarification regarding the aforementioned Form 144 filing pertaining to the proposed sale of securities. The Form 144 pertained to the total number of 10 million ADSs associated with TIGR call options proposed for sale under Mr. Wu's Rule 10b5-1 plan, and the exercise prices were set deep out-of-the-money, with a relatively low probability of being exercised. As of March 31, 2024, none of the call options were exercised due to the deep out-of-the-money strike price. Consequently, the covered shares, which are owned by Mr. Wu, have not been transferred.</w:t>
      </w:r>
    </w:p>
    <w:p>
      <w:pPr>
        <w:spacing w:after="0" w:line="19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21,195,990 Class A Ordinary Shares in the form of ADSs as of March 31, 2024 issued to Mr. Lei Fang under the UP Fintech Holding Limited Share Incentive Plan by exercise of awards thereof, with the voting rights attached thereto irrevocably entrusted to Mr. Tianhua Wu.</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dual-class share structure. Our outstanding ordinary shares consist of Class A ordinary shares and Class B ordinary shares, and Mr. Tianhua Wu and his family beneficially own all of our issued Class B ordinary shares through Sky Fintech Holding Limited, of which he is the director, and Mr. Wu, with the voting rights entrusted to him under the 2018 and 2019 Performance Incentive Plan, is able to exercise 55.48% of the aggregate voting power of our total issued and outstanding share capital. As such, Mr. Wu is able to control any actions that require shareholder approval under Cayman Islands law, our memorandum and articles of association, and the Nasdaq requirements. Holders of Class A ordinary shares and Class B ordinary shares have the same rights except for voting and conversion rights. Each Class A ordinary share is entitled to one vote, and is not convertible into Class B ordinary share under any circumstance. Each Class B ordinary share is entitled to 20 votes and will be automatically convert into one Class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ordinary share under certain circumstances. Our dual-class ordinary share structure involves certain risks. See “Item 3.D. Risk Factors” of this Annual Report on Form 20-F for more information about risks associated with our dual-class share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arrangements for involving employees in the capital of the Company, see Item 6.B.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6.E Directors, Senior Management and Employees-Share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PRC law currently limits foreign equity ownership of companies that provide Internet services and related businesses. To comply with these foreign ownership restrictions, we operate our business in China through a series of contractual arrangements with Beijing Rongke and Beijing Yiyi, and their respective shareholders. For a description of these contractual arrangements, see Item 4 “Information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initial term of these employment agreements will be until the next shareholders meeting, unless terminated earlier pursuant to the 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 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customers,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6.B “Compensation - Compensation of Directors and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Alphalion Technology Holding Limited and its affiliates (“Alphalion Group”)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of 2019, we and our affiliates entered into a series of agreements with respective parties regarding the investment in Alphalion Technology Holding Limited. Under the agreements, we and our affiliates agreed to convert a total of US$3.1 million short-term interest-free loans to Alphalion Group Limited and Bluesea Fintech LLC into 25% equity interest of their parent company, Alphalion Technology Holding Limited. The conversion was consummated on February 22, 2019. The investment was classified as long-term investment. See Note 6 to our audited consolidated financial statements for the more information of this investment in Alphalion Technology Holding Limited.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6, 2020, Beijing Yixin Xiangshang Technology Co.,LTD entered a technical service agreement with Guangzhou Chenhao Technology Co., Ltd an entity which is 100% owned by Alphalion Technology Holding Limited in relation to the ESOP management business in the ordinary course of business.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8, 2021, our subsidiary Tiger Brokers (Singapore) PTE Ltd entered into a Packaged Services Agreement with Alphalion Technology Limited controlled by Alphalion Technology Holding Limited. Under this agreement, Alphalion Technology Limited provided middle office system and license to Tiger Brokers (Singapore) PTE Ltd. As of December 31, 2023, the amount due from Alphalion Group regarding prepaid IT service fee and together with the short-term interest-free loans of previous year, total amount due from Alphalion Group was US$1.0 million. By the year end of 2023, IT service fee paid to Alphalion Group was US$0.15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Directors and Executive Officers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provided brokerage services to our directors and executive officers. These services are provided in the ordinary course of business and are made on substantially the same terms as those prevailing at the same time for comparable transactions with unaffiliated persons. Amounts due from related parties in the consolidated balance sheets as of December 31, 2023, were receivable from such directors and executive officers and amounted to US$7.0 million. Amounts due to directors and executive officers amounted to US$10.1 million at the end of December 31, 2023. Revenue earned by providing brokerage services and margin loans to such directors and executive officers amounted to US$1.5 million for the year ended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Consolidated Statements and Other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for the Company’s Consolidated Financial Statements including the Notes thereto and reports of its independent registered accounting firms. The Company has not yet implemented a formal policy on dividend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except as disclosed in this annual report else have occurred since December 31, 2023, the date of the financial statements included in this annual report on Form 20-F.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A.4. Offer and Listing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representing Class A Ordinary Shares, are listed on the Nasdaq Global Select Market under the symbol “TIGR.”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Markets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representing Class A Ordinary Shares, are listed on the Nasdaq Global Select Market under the symbol “TIGR.”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Cayman Islands Company, registration number 331967, and our affairs are governed by our memorandum and articles of association and the Companies Law, Cap. 22 (Law 3 of 1961, as consolidated and revised) of the Cayman Islands, or the Companies Law, and the common law of the Cayman Islands.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fourth amended and restated memorandum of association, the objects of our company are unrestricted and we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power and authority to carry out any object not prohibited by the laws of the Cayman Islands.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Law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Our fourth amended and restated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Companies Law nor our fourth amended and restated articles of association provide shareholders with rights to requisition a general meeting or the right to put any proposal before a general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to qualify to serve as a director. A director may vote with respect to any contract, proposed contract, or arrangement in which he or she is materially interested. A director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information called for by this Item 10.B is provided in Exhibit 2.1, which is filed as an exhibit to this annual report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VIE-related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agreements related to VIEs, please see “Item 3. Key Information – Contractual Arrangements with the VIEs and Their Respective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related party transactions, please see Item 7.B “Related Party Transactions” and “Notes to the Consolidated Financial Statements – 16. Related Party Balances and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compensation arrangements with the Company’s directors and executive officers, please see Item 6.B “Compensation – Employment Agreements and Indemnification Agreements – 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Company’s outstanding financing agreements, please see section Item 4. “Information on the Company – A. History and Development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Exchange Controls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exchange control regulations or currency restrictions in the Cayman Islands, or any provision of the Articles, which would prevent the transfer of capital or remittance of dividends, interest, and other payments to holders of the Company’s securities who are not residents of the Cayman Islands on a general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and U.S. federal income tax consequences of an investment in our ADSs or Class A ordinary shares is based upon laws and relevant interpretations thereof in effect as of the date of this report,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estate duty or withholding tax applicable to us or to any holder of our ADSs and ordinary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party to any double tax treaties. There are no exchange control regulations or currency restrictions in the Cayman Islands.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6 of the Tax Concessions Law (2011 revision) of the Cayman Islands, we have obtained an undertaking from the Governor-in-Council:</w:t>
      </w:r>
    </w:p>
    <w:p>
      <w:pPr>
        <w:spacing w:after="0" w:line="225" w:lineRule="exact"/>
        <w:rPr>
          <w:sz w:val="20"/>
          <w:szCs w:val="20"/>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382"/>
        <w:spacing w:after="0" w:line="498" w:lineRule="auto"/>
        <w:tabs>
          <w:tab w:leader="none" w:pos="7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aforesaid tax or any tax in the nature of estate duty or inheritance tax shall not be payable on our shares, debentures or other obligations. The undertaking for us is for a period of 30 years from November 19,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considerations relating to the ownership and disposition of our ADSs or Class A ordinary shares by U.S. Holders (as defined below) that hold our ADSs or Class A ordinary shares as “capital assets” (generally, property held for investment) under the U.S. Internal Revenue Code of 1986, as amended, or the “Code.” This discussion does not address any aspect of U.S. federal gift or estate tax, alternative minimum tax, the Medicare tax on net investment income, or the state, local or non-U.S. tax consequences of an investment in our ADSs and Class A ordinary shares. This discussion is based on the Code, its legislative history, existing and proposed regulations promulgated thereunder, published rulings, court decisions and the income tax treaty between the U.S. and PRC, or the “Treaty,” all as of the date hereof. These laws are subject to change, possibly on a retroactive basis. No ruling has been obtained and no ruling will be requested from the U.S. Internal Revenue Service, or the IRS, with respect to any of the U.S. federal income tax consequences described below, and as a result, there can be no assurance that the IRS will not disagree with or challenge any of statements provided below.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is not a complete description of all tax considerations that may be relevant to particular investors in light of their individual circumstances or investors subject to special tax rules, such as:</w:t>
      </w:r>
    </w:p>
    <w:p>
      <w:pPr>
        <w:spacing w:after="0" w:line="162"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certain financial institutions;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treated as partnerships or other pass-through entities for U.S. federal income tax purposes or persons holding ADSs or Class A ordinary shares through any such entities;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investments companies or real estate investment trusts;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or Class A ordinary shares as part of a hedge, straddle, constructive sale,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ADSs or Class A ordinary shares being taken into account in an “applicable financial statement” (as defined in section 451 of the Code);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in connection with a trade or business outside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tax purposes is not the U.S. dollar;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(i) the total combined voting power of all classes of our voting stock or (ii) the total value of all classes of our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Prospective investors are urged to consult their own tax advisor concerning the particular U.S. federal income tax consequences to them of the ownership and disposition of our ADSs and Class A ordinary shares, as well as the consequences to them arising under the laws of any other taxing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U.S. federal income tax discussion below, a “U.S. Holder” is a beneficial owner of our ADSs or Class A ordinary shares that is:</w:t>
      </w:r>
    </w:p>
    <w:p>
      <w:pPr>
        <w:spacing w:after="0" w:line="22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 for U.S. federal income tax purposes;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classified as a corporation, that was created or organized in or under the laws of the U.S.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U.S. is able to exercise primary supervision over its administration and one or more U.S. persons have the authority to control all substantial decisions of the trust, or (ii) the trust has a valid election in effect to be treated as a U.S. person.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income earned through an entity or arrangement classified as a partnership for U.S. federal income tax purposes is attributed to its owners. Accordingly, if an entity or arrangement classified as a partnership for U.S. federal income tax purposes holds our ADSs or Class A ordinary shares, the tax treatment of a partner in such a partnership will generally depend on the status of the partner and the activities of the partnership. Partnerships and their partners should consult their tax advisors regarding the U.S. federal income tax consequences of owning and disposing of ADSs and Class A ordinary shares in their particular circumstances.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holds ADSs, for U.S. federal income tax purposes, the U.S. Holder generally will be treated as the owner of the underlying Class A ordinary shares that are represented by such ADSs. Accordingly, deposits or withdrawals of Class A ordinary shares for ADSs will not be subject to U.S. federal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ADSs and Class A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discussion below, if we make cash distributions and you are a U.S. Holder, the gross amount of any distributions with respect to your ADSs and Class A ordinary shares (including the amount of any taxes withheld therefrom) will be includible in your gross income on the day you actually or constructively receive such income as dividend income if the distributions are made from our current or accumulated earnings and profits, calculated according to U.S. federal income tax principles. We do not intend to calculate our earnings and profits according to U.S. federal income tax principles. Accordingly, distributions on our ADSs and Class A ordinary shares, if any, will generally be reported to you as dividend distributions for U.S. tax purposes. Dividends received on our ADSs or Class A ordinary shares will not be eligible for the dividends received deduction allowed to corporations.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non-corporate U.S. Holders, certain dividends received from a qualified foreign corporation may be subject to a reduced capital gains tax rate rather than the marginal tax rates generally applicable to ordinary income. A non-U.S. corporation (other than a corporation that is classified as a PFIC for the taxable year in which the dividend is paid or in the preceding taxable year) generally will be treated as a qualified foreign corporation (i) if it is eligible for the benefits of a comprehensive tax treaty with the U.S. that includes an exchange of information program or (ii) with respect to any dividend it pays on stock which is readily tradable on an established securities market in the U.S. We expect that our ADSs, which are listed on the Nasdaq Global Select Market, will be readily tradable on an established securities market in the U.S. Since we do not expect our Class A ordinary shares to be listed on an established securities market, we do not believe that dividends we pay on our Class A ordinary shares that are not represented by ADSs will meet the conditions required for the reduced capital gains tax rate. There can be no assurance that our ADSs will be considered readily tradable on an established securities market in later years. Non-corporate U.S. Holders of our ADSs that do not meet a minimum holding period requirement will not be eligible for the reduced capital gain tax rate with respect to our dividends regardless of our status as a qualified foreign corporation. In the event that we are deemed to be a PRC resident enterprise under PRC tax law, we may be eligible for the benefits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Treaty. Dividends we pay on our ADSs or Class A ordinary shares to non-corporate U.S. Holders during the course of a taxable year during which we are eligible for such benefits would be eligible for the reduced capital gains tax rate, in the case of Class A ordinary shares regardless of whether they are represented by our ADSs. You should consult your own tax advisor regarding the availability of the reduced capital gain tax rate for dividends paid with respect to our ADSs and Class A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U.S. foreign tax credit purposes, dividends we pay on our ADSs or Class A ordinary shares generally will be treated as income from foreign sources and generally will constitute passive category income. Depending on your individual facts and circumstances, you may be eligible, subject to a number of complex limitations, to claim a foreign tax credit in respect of foreign withholding taxes that may be imposed on dividends received on our ADSs or Class A ordinary shares. You should consult your own tax advisors as to your ability, and the various limitations on your ability, to claim foreign tax credits in connection with the receipt of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Other Dispositions of ADSs or Class A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“Passive Foreign Investment Company” discussion below, when you sell or otherwise dispose of ADSs or Class A ordinary shares, you will recognize capital gain or loss in an amount equal to the difference between the amount realized on the sale or other disposition and your adjusted tax basis in the ADSs or Class A ordinary shares. Your adjusted tax basis will equal the amount you paid for the ADSs or Class A ordinary shares. Any gain or loss you recognize will generally be long-term capital gain or loss if your holding period in our ADSs or Class A ordinary shares is more than one year at the time of disposition. If you are a non-corporate U.S. Holder, including an individual, any such long-term capital gain will generally be eligible for a reduced rate of taxation. The deductibility of a capital loss is subject to limitations.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Gains from dispositions of our ADSs or Class A ordinary shares may be subject to PRC tax if such gains are deemed as income derived from sources within China for PRC tax purposes. In that case, a U.S. Holder’s amount realized would include the gross amount of the proceeds of the sale or disposition before deduction of the PRC tax. Any gain generally would constitute U.S. source income, which generally does not give rise to foreign tax credits. However, a U.S. Holder that is eligible for the benefits of the Treaty may be able to elect to treat its gain as foreign source gain for foreign tax credit purposes. You should consult your own tax advisors regarding your eligibility for benefits under the Treaty and the creditability of any PRC tax on disposition gains in your particular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were classified as a passive foreign investment company or “PFIC” in any taxable year in which you hold our ADSs or Class A ordinary shares, as a U.S. Holder, you would generally be subject to adverse U.S. tax consequences, in the form of increased tax liabilities and special U.S. tax reporting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we will be classified as a PFIC for any taxable year if either (i) at least 75% of our gross income for the taxable year is passive income or (ii) at least 50% of the value of our assets (based on a quarterly value of the assets during the taxable year) is attributable to assets that produce or are held for the production of passive income, or the asset test. For purposes of making PFIC determination, we will be treated as owning our proportionate share of the assets and earning our proportionate share of the gross income of any other corporation of which we are, directly or indirectly, a 25% or greater shareholder (by value). Passive income generally includes interest and for purposes of the asset test, any cash and loans will generally count as producing passive income or held for the production of passive income.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on the expected composition of our income and assets and the value of our assets, including goodwill, we do not expect to be classified as a PFIC for the current taxable year ending December 31, 2023 or in the foreseeable future. Despite our expectation, there can be no assurance that we will not be a PFIC in the current taxable year or any future taxable year as PFIC status is tested each taxable year and will depend on the composition of our assets and income in each such taxable year. In particular, in determining the average percentage value of our gross assets, the aggregate value of our assets will generally be deemed to be equal to our market capitalization (the sum of the aggregate value of our outstanding equity) plus our liabilities. Accordingly, we could become a PFIC if our market capitalization were to decrease significantly while we hold substantial cash, cash equivalents or other assets that produce or are held for the production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passive income such as loans to customers. In addition, we expect to increase our margin loan business (where we extend margin loans using our own capital rather than Interactive Brokers’ capital) which will increase our passive interest income. Furthermore, although the law in this regard is not entirely clear, we treat the consolidated VIEs as being owned by us for U.S. federal income tax purposes because we control their management decisions and are entitled to substantially all of the economic benefits associated with these entities. If it were determined, however, that we are not the owner of the consolidated VIEs for U.S. federal income tax purposes, we may be treated as a PFIC for the current taxable year and any subsequent taxable year. Because there are uncertainties in the application of the relevant rules, it is possible that the IRS may challenge our classification of certain income and assets as non-passive or our valuation of our tangible and intangible assets, which could result in a determination that we were a PFIC for the current or subsequent taxable years.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during which you held ADSs or Class A ordinary shares, certain adverse U.S. federal income tax rules would apply. You would generally be subject to additional taxes and interest charges on certain “excess distributions” we make and on any gain realized on the disposition or deemed disposition of your ADSs or Class A ordinary shares, regardless of whether we continue to be a PFIC in the year in which you receive an “excess distribution” or dispose (or are deemed to have disposed, as described below) of your ADSs or Class A ordinary shares. Distributions in respect of your ADSs or Class A ordinary shares during a taxable year would generally constitute “excess distributions” if, in the aggregate, they exceed 125% of the average amount of distributions with respect to your ADSs or Class A ordinary shares over the three preceding taxable years or, if shorter, the portion of your holding period before such taxable year.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compute the tax on “excess distributions” or any gain, (i) the “excess distribution” or the gain would be allocated ratably to each day in your holding period, (ii) the amount allocated to the current year and any tax year prior to the first taxable year in which we were a PFIC would be taxed as ordinary income in the current year, (iii) the amount allocated to other taxable years would be taxable at the highest applicable marginal rate in effect for that year, and (iv) an interest charge at the rate for underpayment of taxes for any period described under (iii) above would be imposed on the resulting tax liability on the portion of the “excess distribution” or gain that is allocated to such period. In addition, no distribution that you receive from us would qualify for taxation at the reduced capital gain tax rate discussed under “Item 10.E Taxation-Dividends on ADSs and Class A ordinary shares” section above if we were a PFIC in the taxable year in which such distribution is made or in the preceding taxable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were a PFIC for any year during which you hold ADSs or Class A ordinary shares, we generally will continue to be treated as a PFIC with respect to such ADSs or Class A ordinary shares in all succeeding years during which you hold ADSs or Class A ordinary shares, even if we cease to meet the threshold requirements for PFIC status, unless you made a “deemed sale” election.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attribution rules, if we were a PFIC, you would be deemed to own your proportionate share of any of our non-U.S. subsidiaries and VIEs that are PFICs, each a “lower-tier PFIC”, and would be subject to U.S. federal income tax according to the PFIC rules described above on (i) a distribution on the shares of a lower-tier PFIC and (ii) a disposition of shares of a lower-tier PFIC, both as if you directly held the shares of such lower-tier PFIC.</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were a PFIC in any year, you would generally be able to avoid the “excess distribution” rules described above by making a timely so-called “mark-to-market” election with respect to your ADSs provided they are “marketable.” Our ADSs will be “marketable” as long as they remain regularly traded on a national securities exchange, such as the Nasdaq. If you made this election in a timely fashion, you would generally recognize as ordinary income or ordinary loss the difference between the fair market value of your ADSs as of the close of any taxable year and your adjusted tax basis in such ADSs. Any ordinary income resulting from this election would generally be taxed at ordinary income rates and would not be eligible for the reduced capital gain tax rate discussed under “Item 10.E Taxation-Dividends on ADSs and Class A ordinary shares” section above. Any ordinary losses would be deductible, but only to the extent of the net amount of previously included income as a result of the mark-to-market election, if any. Your basis in the ADSs or Class A ordinary shares would be adjusted to reflect any such income or loss. If you make a mark-to-market election with respect to our ADSs, but for a later taxable year either our ADSs no longer constitute “marketable stock” or we cease being a PFIC, you will not be subject to the mark-to market rules described above for such taxable year. The mark-to-market election will not be available for any lower tier PFIC that you may be deemed to own pursuant to the attribution rules discussed above. You should consult your own tax advisor regarding potential advantages and disadvantages to you of making a “mark-to-market” election with respect to your ADSs.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PFIC rules provide for a separate election, referred to as a qualified electing fund election, which, if available, results in a tax treatment different than the general PFIC tax treatment described above. That election, however, will not be available to you as we do not intend to provide the information you would need to make or maintain that election.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own our ADSs or Class A ordinary shares during any taxable year that we are a PFIC, you will generally be required to file an annual report containing such information as the United States Treasury Department may require. You are advised to consult with your own tax advisor concerning our PFIC status and the U.S. federal income tax consequences of holding and disposing of our ADSs or Class A ordinary shares if we are or become classified as a PFIC.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Information Reporting and Backup Withholding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 payments with respect to the ADSs and Class A ordinary shares and the proceeds received on the sale or other disposition of ADSs and Class A ordinary shares may be subject to information reporting to the IRS and to backup withholding. Backup withholding will not apply, however, if (i) a U.S. Holder is an exempt recipient, or if (ii) the U.S. Holder provides a taxpayer identification number, certifying that the U.S. Holder is not subject to backup withholding. Any amounts withheld under the backup withholding rules from a payment to a U.S. Holder will be refunded or credited against such U.S. Holder’s U.S. federal income tax liability, provided that the required information is timely provided to the IRS. Certain U.S. Holders who hold “specified foreign financial assets”, including stock of a non-U.S. corporation that is not held in an account maintained by a U.S. “financial institution” may be required to attach to their tax returns for the year certain specified information. A U.S. Holder who fails to timely furnish the required information may be subject to a penalty. You are advised to consult with your own tax advisor regarding the application of the U.S. information reporting and backup withholding rules to your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Statements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Documents on Display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reports, including annual reports on Form 20-F, furnishes current reports on Form 6-K and discloses other information with the SEC pursuant to the rules and regulations of the SEC that apply to foreign private issuers. These may be accessed by visiting the SEC’s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a variety of market risks including interest rate risk and foreign currency exchange rate risk. The Company’s overall risk management strategy focuses on the unpredictability of financial markets and seeks to minimize potential adverse effects on its performance through ongoing operational and finance activities. The Company monitors and manages its exposure to such risks both centrally and at the local level,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as part of its overall risk management program with the objective of seeking to reduce the potential adverse effects of such risks on its results of operations and financial position.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section provides qualitative and quantitative disclosures on the effects that these risks may have. The quantitative data reported below, if any, does not have any predictive value and does not reflect the complexity of the markets or reactions which may result from any changes that are assumed to have taken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most of our revenues are denominated in U.S. dollars and Hong Kong dollars and our expenses are denominated in Renminbi and U.S. dollars, the Company has not used any derivative financial instruments to hedge exposure to such risk as our exposure to foreign exchange risks should be limited in general per management’s assessment.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foreign currency instruments in the future. Currently we did not hold any currency hedging instruments position as of December 31, 2022 and 2023 due to immaterial impact on our daily operation and financials, whilst the Company has been monitoring the exchange rates which may affect our business and financials and will take necessary actions to mediate foreign exchange risks. See Item 3.D “Risk Factors.”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In July 2005, the PRC government changed its decades-old policy of pegging the value of Renminbi to U.S. dollar, and Renminbi appreciated more than 20% against U.S. dollar over the following three years. Between July 2008 and June 2010, this appreciation halted and the exchange rate between Renminbi and U.S. dollar remained within a narrow band. Since June 2010, Renminbi has fluctuated against U.S. dollar, at times significantly and unpredictably. With the development of the foreign exchange market and progress towards interest rate liberalization and Renminbi internationalization, the PRC government may in the future announce further changes to the exchange rate system. It is difficult to predict how market forces or PRC or U.S. government policy may impact the exchange rate between Renminbi and U.S. dollar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 into Renminbi for our operations, appreciation of Renminbi against U.S. dollar would have an adverse effect on the Renminbi amount we receive from the conversion. Conversely, if we decide to convert Renminbi into U.S. dollar for the purpose of making payments for dividends on our ordinary shares or ADSs or for other business purposes, appreciation of U.S. dollar against Renminbi would have a negative effect on U.S. dollar amounts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rising or falling interest rates may have a material impact on our financial condition unless uncertainty about the direction and timing of interest rate changes materially affects the level of borrowing and lending activity in the economy.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invest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Margin financing is subject to various regulatory requirements. Margin loans are collateralized by cash and securities in the customers’ accounts. The risks associated with margin credit increase during periods of fast market movements or in cases where collateral is concentrated and market movements occur. During such times, customers who utilize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margin loans and who have collateralized their obligations with securities may find that the securities have a rapidly depreciating value and may not be sufficient to cover their obligations in the event of liquidation. We are also exposed to credit risk when our customers execute transactions, such as short sales of options and equities that can expose them to risk beyond their invested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this kind of exposure to increase with the growth of our overall business. Because we indemnify and hold harmless our clearing firms from certain liabilities or claims, the use of margin loans and short sales may expose us to significant off-balance-sheet risk in the event that collateral requirements are not sufficient to fully cover losses that customers may incur and those customers fail to satisfy their obligations. The amount of risk to which we are exposed from the margin financing to our customers and from short-selling transactions by our customers is not quantifiable as the risk is dependent upon analysis of a potential significant and undeterminable rise or fall in stock prices. As a matter of practice, we enforce real-time margin compliance monitoring and liquidate customers’ positions if their equity falls below required margin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comprehensive policy implemented in accordance with regulatory standards to assess and monitor the suitability of investors to engage in the trading activities that we offer. To mitigate our risk, we also continuously monitor customer accounts to detect excessive concentration, large orders or positions, patterns of day trading, high frequency trading, inactive accounts, trading that has no economic purpose, trading in illiquid securities and other activities that indicate increased risk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credit exposure is to a great extent mitigated by our policy of automatically evaluating each account throughout the trading day and closing out positions automatically or disabling further trading for accounts that are found to be under-margined. While this methodology is effective in most situations, it may not be effective in situations where no liquid market exists for the relevant securities or commodities or where, for any reason, automatic liquidation for certain accounts has been disabled.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required to pay the following service fees to the depositary bank and certain taxes and governmental charges (in addition to any applicable fees, expenses, taxes and other governmental charges payable on the deposited securities represented by any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905"/>
        </w:trPr>
        <w:tc>
          <w:tcPr>
            <w:tcW w:w="128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5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211"/>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To any person to which ADSs are issued or to any person to which a distribution is made in</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7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 of ADS distributions pursuant to stock dividends or other free distributions of stock,</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r>
      <w:tr>
        <w:trPr>
          <w:trHeight w:val="248"/>
        </w:trPr>
        <w:tc>
          <w:tcPr>
            <w:tcW w:w="7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bonus distributions, stock splits or other distributions (except where converted to cash)</w:t>
            </w:r>
          </w:p>
        </w:tc>
        <w:tc>
          <w:tcPr>
            <w:tcW w:w="140" w:type="dxa"/>
            <w:vAlign w:val="bottom"/>
            <w:shd w:val="clear" w:color="auto" w:fill="CFF0FC"/>
          </w:tcPr>
          <w:p>
            <w:pPr>
              <w:spacing w:after="0"/>
              <w:rPr>
                <w:sz w:val="21"/>
                <w:szCs w:val="21"/>
                <w:color w:val="auto"/>
              </w:rPr>
            </w:pPr>
          </w:p>
        </w:tc>
        <w:tc>
          <w:tcPr>
            <w:tcW w:w="3880" w:type="dxa"/>
            <w:vAlign w:val="bottom"/>
            <w:shd w:val="clear" w:color="auto" w:fill="CFF0FC"/>
          </w:tcPr>
          <w:p>
            <w:pPr>
              <w:spacing w:after="0"/>
              <w:rPr>
                <w:sz w:val="21"/>
                <w:szCs w:val="21"/>
                <w:color w:val="auto"/>
              </w:rPr>
            </w:pPr>
          </w:p>
        </w:tc>
      </w:tr>
      <w:tr>
        <w:trPr>
          <w:trHeight w:val="239"/>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Cancellation of ADSs, including the case of termination of the deposit agreement</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47"/>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140" w:type="dxa"/>
            <w:vAlign w:val="bottom"/>
            <w:shd w:val="clear" w:color="auto" w:fill="CFF0FC"/>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1"/>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 proceeds from the sale</w:t>
            </w:r>
          </w:p>
        </w:tc>
        <w:tc>
          <w:tcPr>
            <w:tcW w:w="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41"/>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rights, securities and other entitlements</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50"/>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140" w:type="dxa"/>
            <w:vAlign w:val="bottom"/>
            <w:shd w:val="clear" w:color="auto" w:fill="CFF0FC"/>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9"/>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 ADSs</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5"/>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Depositary services</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48"/>
        </w:trPr>
        <w:tc>
          <w:tcPr>
            <w:tcW w:w="1280" w:type="dxa"/>
            <w:vAlign w:val="bottom"/>
            <w:shd w:val="clear" w:color="auto" w:fill="CFF0FC"/>
          </w:tcPr>
          <w:p>
            <w:pPr>
              <w:spacing w:after="0"/>
              <w:rPr>
                <w:sz w:val="21"/>
                <w:szCs w:val="21"/>
                <w:color w:val="auto"/>
              </w:rPr>
            </w:pPr>
          </w:p>
        </w:tc>
        <w:tc>
          <w:tcPr>
            <w:tcW w:w="5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also responsible to pay certain fees and expenses incurred by the depositary bank and certain taxes and governmental charges (in addition to any applicable fees, expenses, taxes and other governmental charges payable on the deposited securities represented by any ADSs) such as:</w:t>
      </w:r>
    </w:p>
    <w:p>
      <w:pPr>
        <w:spacing w:after="0" w:line="162" w:lineRule="exact"/>
        <w:rPr>
          <w:sz w:val="20"/>
          <w:szCs w:val="20"/>
          <w:color w:val="auto"/>
        </w:rPr>
      </w:pPr>
    </w:p>
    <w:p>
      <w:pPr>
        <w:ind w:left="76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ADSs in their DTC accounts. The brokers and custodians who hold their clients’ ADSs in DTC accounts in turn charge their clients’ accounts the amount of the fees paid to the depositary banks.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Dividends,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2021,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 13a-15(e) of the Exchange Act, as of December 31, 2023. Based upon that evaluation, our management, with the participation of our chief executive officer and chief financial officer, concluded that our disclosure controls and procedures were effective in ensuring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evaluated the effectiveness of our internal control over financial reporting based on criteria established in the framework in Internal Control-Integrated Framework (2013) issued by the Committee of Sponsoring Organizations of the Treadway Commission (COSO). Based on this evaluation, our management has concluded that our internal control over financial reporting was effective as of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KPMG Huazhen LLP has audited the effectiveness of our internal control over financial reporting as of December 31, 2023 as stated in its report, which appears on page F-2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Audit Committee Financial Expert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has determined that Mr. Chia Hung Yang, the chairman of our audit committee, is an audit committee financial expert.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is an independent director under the Nasdaq standards.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which is applicable to all of its directors, officers and employees, including certain portions of the Code of Business Conduct and Ethics which are only applicable to the Company’s chief executive officer, chief financial officer, other chief senior officers, senior finance officer, controller, vice presidents and any other persons who perform similar functions (defined in the Code of Business Conduct and Ethics as “senior officers”). This Code of Business Conduct and Ethics is posted on its website, www.itiger.com. The information contained on the Company’s website is not included in, or incorporated by reference into, this annual report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the categories specified below in connection with certain professional services rendered by KPMG Huazhen LLP and KPMG member firm for the years indicated. We did not pay any other fees to our auditors during the years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9"/>
        </w:trPr>
        <w:tc>
          <w:tcPr>
            <w:tcW w:w="7720" w:type="dxa"/>
            <w:vAlign w:val="bottom"/>
          </w:tcPr>
          <w:p>
            <w:pPr>
              <w:spacing w:after="0"/>
              <w:rPr>
                <w:sz w:val="14"/>
                <w:szCs w:val="14"/>
                <w:color w:val="auto"/>
              </w:rPr>
            </w:pPr>
          </w:p>
        </w:tc>
        <w:tc>
          <w:tcPr>
            <w:tcW w:w="16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20" w:type="dxa"/>
            <w:vAlign w:val="bottom"/>
            <w:tcBorders>
              <w:top w:val="single" w:sz="8" w:color="auto"/>
            </w:tcBorders>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60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US$ 000</w:t>
            </w:r>
          </w:p>
        </w:tc>
        <w:tc>
          <w:tcPr>
            <w:tcW w:w="220" w:type="dxa"/>
            <w:vAlign w:val="bottom"/>
          </w:tcPr>
          <w:p>
            <w:pPr>
              <w:spacing w:after="0"/>
              <w:rPr>
                <w:sz w:val="14"/>
                <w:szCs w:val="14"/>
                <w:color w:val="auto"/>
              </w:rPr>
            </w:pPr>
          </w:p>
        </w:tc>
        <w:tc>
          <w:tcPr>
            <w:tcW w:w="16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US$ 000</w:t>
            </w: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4"/>
        </w:trPr>
        <w:tc>
          <w:tcPr>
            <w:tcW w:w="77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2,217</w:t>
            </w: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76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for professional services rendered by KPMG Huazhen LLP and KPMG member firm for the audit of our annual financial statements, the review and agreed-upon procedures of our quarterly financial statements.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in each of the fiscal years listed for professional services rendered by our principal auditor for tax compliance and tax advice.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billed in each of the fiscal years for assurance and related services by the principal accountant that are reasonably related to the performance of the audit or review of the registrant’s financial statements and are not reported under “Audit Fees.”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billed in each of the fiscal years for products and services provided by the principal accountant, other than the services reported under the other three line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Audit Committee is responsible for appointing the independent auditors and pre-approving all auditing and non-auditing services permitted to be performed by the independent auditors. All of the audit fees and non-audit fees paid with respect to 2023 were approved by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Class A ordinary shares and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company incorporated in the Cayman Islands with Class A ordinary shares and ADSs to be listed on the Nasdaq Global Select Market, we chose to follow our home country practice instead of Nasdaq requirements that mandate that:</w:t>
      </w:r>
    </w:p>
    <w:p>
      <w:pPr>
        <w:spacing w:after="0" w:line="162"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 comprised of a majority of independent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be required prior to the issuance of securities when a stock option or other equity compensation arrangement is established or materially amended, pursuant to which stock may be acquired by officers, directors, employees, or consultants.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“controlled company” as defined under the Nasdaq Stock Market Rules because Mr. Tianhua Wu, our founder, director and chief executive officer, holds more than 50% of our total voting power. For so long as we remain as a controlled company, we are permitted to elect to, and may, rely on certain exemptions from corporate governance requirements otherwise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applicable. For further information, see Item 3. Key Information and Item 3.D “Risk Factors – 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and Board recognize the critical importance that a robust cybersecurity program and processes play in maintaining the integrity of our information technology networks and systems, which we rely upon to securely process, transmit and store electronic information and to communicate among our locations and with our customers and partners.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and address information security risks by employing a defense-in-depth methodology that provides multiple, redundant defensive measures in case a security control fails or a vulnerability is exploited. Our policies include procedures for handling urgent problems, accident classification standards, and internal audit standards for information security. We have passed Information Security Management Systems (ISMS) certifications such as ISO27001 and ISO27701, and we follow these and other international standards to assess, identify and manage cybersecurity threats.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internal resources, we also leverage external resources to mitigate cybersecurity threats to the Company, including partnering with third parties to conduct penetration testing, attack and defense exercises; perform annual audits and certifications of our cybersecurity and information technology processes and performance; and supply us with defensive tools.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processes in place to oversee and identify risks that may arise from cybersecurity threats associated with our use of third-party service providers, including contract review procedures that apply to third party vendors handling or having access to company information. Our security team conducts additional cybersecurity due diligence on certain vendors involved in customer data sharing.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Oversight of cybersecurity risk is integrated into our overall enterprise risk management framework.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management level, our Chief Information Officer (“CIO”) oversees our cybersecurity program and risks, with more than 15 years of experience in the online advertising and fintech industry, including significant engineering experience and responsibility for building trading systems, anti-fraud systems, and risk management systems. Our CIO holds a M.S. degree in Computer Science from Institute of Software, Chinese Academy of Sciences, and a B.S. degree from Huazhong University of Science and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CIO oversees our research and development (“R&amp;D”) department, which is responsible for detecting, identifying, monitoring, and remediating IT and cybersecurity risks. The security team within the R&amp;D department prepares and disseminates to vice presidents, team leaders and licensed entity team leaders a security monthly report regarding our security posture, critical business security metrics, security incidents, security audits, and other security-related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Board level, cybersecurity risk oversight has been delegated to our Operation Committee, which is a sub-committee of the Board of Directors composed of our non-independent directors. The Operation Committee meets weekly, and our CIO reports to the Operation Committee in the event any significant risks or incidents have been identified. In addition, the Operations Committee has an online working group where the CIO will promptly report any cybersecurity incidents and risks.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date, we have not identified any risks from cybersecurity threats, including as a result of any previous cybersecurity incidents, that have, or are likely to, materially affect us, our business strategy, results of operation or financial condition.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included as part of this annual report on Form 20-F is set forth in the Index to Exhibits immediately following this Item 19.</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gridSpan w:val="7"/>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169"/>
        </w:trPr>
        <w:tc>
          <w:tcPr>
            <w:tcW w:w="6280" w:type="dxa"/>
            <w:vAlign w:val="bottom"/>
            <w:gridSpan w:val="11"/>
          </w:tcPr>
          <w:p>
            <w:pPr>
              <w:ind w:left="9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hyperlink r:id="rId388">
              <w:r>
                <w:rPr>
                  <w:rFonts w:ascii="Times New Roman" w:cs="Times New Roman" w:eastAsia="Times New Roman" w:hAnsi="Times New Roman"/>
                  <w:sz w:val="18"/>
                  <w:szCs w:val="18"/>
                  <w:color w:val="0000EE"/>
                </w:rPr>
                <w:t>F</w:t>
              </w:r>
              <w:r>
                <w:rPr>
                  <w:rFonts w:ascii="Times New Roman" w:cs="Times New Roman" w:eastAsia="Times New Roman" w:hAnsi="Times New Roman"/>
                  <w:sz w:val="18"/>
                  <w:szCs w:val="18"/>
                  <w:color w:val="0000FF"/>
                </w:rPr>
                <w:t>ourth Amended and Restated Memorandum and Articles of</w:t>
              </w:r>
            </w:hyperlink>
          </w:p>
        </w:tc>
        <w:tc>
          <w:tcPr>
            <w:tcW w:w="49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w w:val="99"/>
              </w:rPr>
              <w:t>Exhibit 3.2 to the registration statement on Form F-1 (File No. 333-</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8"/>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Association of the Registrant</w:t>
              </w:r>
            </w:hyperlink>
          </w:p>
        </w:tc>
        <w:tc>
          <w:tcPr>
            <w:tcW w:w="4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7"/>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98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r>
        <w:trPr>
          <w:trHeight w:val="391"/>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r:id="rId389">
              <w:r>
                <w:rPr>
                  <w:rFonts w:ascii="Times New Roman" w:cs="Times New Roman" w:eastAsia="Times New Roman" w:hAnsi="Times New Roman"/>
                  <w:sz w:val="18"/>
                  <w:szCs w:val="18"/>
                  <w:color w:val="0000FF"/>
                </w:rPr>
                <w:t>Description of the registrant’s securities registered pursuant to</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2.1 to the annual report on Form 20-F (File No. 001-38833)</w:t>
            </w: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Section 12 of the Exchange Act.</w:t>
              </w:r>
            </w:hyperlink>
          </w:p>
        </w:tc>
        <w:tc>
          <w:tcPr>
            <w:tcW w:w="340" w:type="dxa"/>
            <w:vAlign w:val="bottom"/>
            <w:gridSpan w:val="2"/>
          </w:tcPr>
          <w:p>
            <w:pPr>
              <w:spacing w:after="0"/>
              <w:rPr>
                <w:sz w:val="17"/>
                <w:szCs w:val="17"/>
                <w:color w:val="auto"/>
              </w:rPr>
            </w:pPr>
          </w:p>
        </w:tc>
        <w:tc>
          <w:tcPr>
            <w:tcW w:w="4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filed with the SEC on April 29, 2020</w:t>
            </w:r>
          </w:p>
        </w:tc>
      </w:tr>
      <w:tr>
        <w:trPr>
          <w:trHeight w:val="20"/>
        </w:trPr>
        <w:tc>
          <w:tcPr>
            <w:tcW w:w="1440" w:type="dxa"/>
            <w:vAlign w:val="bottom"/>
            <w:gridSpan w:val="3"/>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color w:val="0000EE"/>
              </w:rPr>
              <w:t>S</w:t>
            </w:r>
            <w:hyperlink r:id="rId390">
              <w:r>
                <w:rPr>
                  <w:rFonts w:ascii="Times New Roman" w:cs="Times New Roman" w:eastAsia="Times New Roman" w:hAnsi="Times New Roman"/>
                  <w:sz w:val="18"/>
                  <w:szCs w:val="18"/>
                  <w:color w:val="0000FF"/>
                </w:rPr>
                <w:t>pecimen American Depositary Receipt (contained in Exhibit 2.4)</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4.3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r>
        <w:trPr>
          <w:trHeight w:val="391"/>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color w:val="0000EE"/>
              </w:rPr>
              <w:t>S</w:t>
            </w:r>
            <w:hyperlink r:id="rId391">
              <w:r>
                <w:rPr>
                  <w:rFonts w:ascii="Times New Roman" w:cs="Times New Roman" w:eastAsia="Times New Roman" w:hAnsi="Times New Roman"/>
                  <w:sz w:val="18"/>
                  <w:szCs w:val="18"/>
                  <w:color w:val="0000FF"/>
                </w:rPr>
                <w:t>pecimen Form of Class A Ordinary Share Certificate</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4.2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8" w:lineRule="exact"/>
        <w:rPr>
          <w:sz w:val="20"/>
          <w:szCs w:val="20"/>
          <w:color w:val="auto"/>
        </w:rPr>
      </w:pPr>
    </w:p>
    <w:p>
      <w:pPr>
        <w:sectPr>
          <w:pgSz w:w="11900" w:h="16838" w:orient="portrait"/>
          <w:cols w:equalWidth="0" w:num="1">
            <w:col w:w="11240"/>
          </w:cols>
          <w:pgMar w:left="320" w:top="769" w:right="339" w:bottom="1440" w:gutter="0" w:footer="0" w:header="0"/>
        </w:sectPr>
      </w:pPr>
    </w:p>
    <w:p>
      <w:pPr>
        <w:ind w:left="1420" w:hanging="48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390">
        <w:r>
          <w:rPr>
            <w:rFonts w:ascii="Times New Roman" w:cs="Times New Roman" w:eastAsia="Times New Roman" w:hAnsi="Times New Roman"/>
            <w:sz w:val="18"/>
            <w:szCs w:val="18"/>
            <w:u w:val="single" w:color="auto"/>
            <w:color w:val="0000FF"/>
          </w:rPr>
          <w:t>Form of Deposit Agreement, among the Registrant, the depositary</w:t>
        </w:r>
      </w:hyperlink>
      <w:r>
        <w:rPr>
          <w:rFonts w:ascii="Times New Roman" w:cs="Times New Roman" w:eastAsia="Times New Roman" w:hAnsi="Times New Roman"/>
          <w:sz w:val="18"/>
          <w:szCs w:val="18"/>
          <w:color w:val="auto"/>
        </w:rPr>
        <w:t xml:space="preserve"> </w:t>
      </w:r>
      <w:hyperlink r:id="rId390">
        <w:r>
          <w:rPr>
            <w:rFonts w:ascii="Times New Roman" w:cs="Times New Roman" w:eastAsia="Times New Roman" w:hAnsi="Times New Roman"/>
            <w:sz w:val="18"/>
            <w:szCs w:val="18"/>
            <w:u w:val="single" w:color="auto"/>
            <w:color w:val="0000FF"/>
          </w:rPr>
          <w:t>and the holders and beneficial owners of American Depositary</w:t>
        </w:r>
      </w:hyperlink>
      <w:r>
        <w:rPr>
          <w:rFonts w:ascii="Times New Roman" w:cs="Times New Roman" w:eastAsia="Times New Roman" w:hAnsi="Times New Roman"/>
          <w:sz w:val="18"/>
          <w:szCs w:val="18"/>
          <w:u w:val="single" w:color="auto"/>
          <w:color w:val="0000FF"/>
        </w:rPr>
        <w:t xml:space="preserve"> </w:t>
      </w:r>
      <w:hyperlink r:id="rId390">
        <w:r>
          <w:rPr>
            <w:rFonts w:ascii="Times New Roman" w:cs="Times New Roman" w:eastAsia="Times New Roman" w:hAnsi="Times New Roman"/>
            <w:sz w:val="18"/>
            <w:szCs w:val="18"/>
            <w:u w:val="single" w:color="auto"/>
            <w:color w:val="0000FF"/>
          </w:rPr>
          <w:t>Shares issued thereunder</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30556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88988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288988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11360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395">
        <w:r>
          <w:rPr>
            <w:rFonts w:ascii="Times New Roman" w:cs="Times New Roman" w:eastAsia="Times New Roman" w:hAnsi="Times New Roman"/>
            <w:sz w:val="17"/>
            <w:szCs w:val="17"/>
            <w:u w:val="single" w:color="auto"/>
            <w:color w:val="0000FF"/>
          </w:rPr>
          <w:t>Form of Registration Rights Agreement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21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4.3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4.4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sectPr>
          <w:pgSz w:w="11900" w:h="16838" w:orient="portrait"/>
          <w:cols w:equalWidth="0" w:num="2">
            <w:col w:w="6180" w:space="180"/>
            <w:col w:w="4880"/>
          </w:cols>
          <w:pgMar w:left="320" w:top="769" w:right="339" w:bottom="1440" w:gutter="0" w:footer="0" w:header="0"/>
          <w:type w:val="continuous"/>
        </w:sectPr>
      </w:pPr>
    </w:p>
    <w:p>
      <w:pPr>
        <w:ind w:left="1420" w:hanging="488"/>
        <w:spacing w:after="0" w:line="26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97">
        <w:r>
          <w:rPr>
            <w:rFonts w:ascii="Times New Roman" w:cs="Times New Roman" w:eastAsia="Times New Roman" w:hAnsi="Times New Roman"/>
            <w:sz w:val="18"/>
            <w:szCs w:val="18"/>
            <w:u w:val="single" w:color="auto"/>
            <w:color w:val="0000FF"/>
          </w:rPr>
          <w:t>Form of Irrevocable Voting Proxy by and among holders of options</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awarded under the 2018 Share Incentive Plan and the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-161925</wp:posOffset>
            </wp:positionV>
            <wp:extent cx="31108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311086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-24765</wp:posOffset>
            </wp:positionV>
            <wp:extent cx="27222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ind w:left="1420"/>
        <w:spacing w:after="0"/>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Performance Incentive Plan and Wu Tianhua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20504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2050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3.1 to the annual report on Form 20-F (File No. 001-38833) filed with the SEC on April 29, 2020</w:t>
      </w:r>
    </w:p>
    <w:p>
      <w:pPr>
        <w:spacing w:after="0" w:line="370" w:lineRule="exact"/>
        <w:rPr>
          <w:sz w:val="20"/>
          <w:szCs w:val="20"/>
          <w:color w:val="auto"/>
        </w:rPr>
      </w:pPr>
    </w:p>
    <w:p>
      <w:pPr>
        <w:sectPr>
          <w:pgSz w:w="11900" w:h="16838" w:orient="portrait"/>
          <w:cols w:equalWidth="0" w:num="2">
            <w:col w:w="6260" w:space="100"/>
            <w:col w:w="4880"/>
          </w:cols>
          <w:pgMar w:left="320" w:top="769" w:right="339" w:bottom="1440" w:gutter="0" w:footer="0" w:header="0"/>
          <w:type w:val="continuous"/>
        </w:sectPr>
      </w:pPr>
    </w:p>
    <w:p>
      <w:pPr>
        <w:spacing w:after="0" w:line="7" w:lineRule="exact"/>
        <w:rPr>
          <w:sz w:val="20"/>
          <w:szCs w:val="20"/>
          <w:color w:val="auto"/>
        </w:r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401">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01">
        <w:r>
          <w:rPr>
            <w:rFonts w:ascii="Times New Roman" w:cs="Times New Roman" w:eastAsia="Times New Roman" w:hAnsi="Times New Roman"/>
            <w:sz w:val="17"/>
            <w:szCs w:val="17"/>
            <w:u w:val="single" w:color="auto"/>
            <w:color w:val="0000FF"/>
          </w:rPr>
          <w:t>between Ningxia Rongke and Ningxia Yixin dated June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9190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2919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 to the registration statement on Form F-1 (File No. 333-229808), as amended, initially filed with the SEC on February 22, 2019)</w:t>
      </w:r>
    </w:p>
    <w:p>
      <w:pPr>
        <w:spacing w:after="0" w:line="200" w:lineRule="exact"/>
        <w:rPr>
          <w:sz w:val="20"/>
          <w:szCs w:val="20"/>
          <w:color w:val="auto"/>
        </w:rPr>
      </w:pPr>
    </w:p>
    <w:p>
      <w:pPr>
        <w:sectPr>
          <w:pgSz w:w="11900" w:h="16838" w:orient="portrait"/>
          <w:cols w:equalWidth="0" w:num="2">
            <w:col w:w="6180" w:space="180"/>
            <w:col w:w="4880"/>
          </w:cols>
          <w:pgMar w:left="320" w:top="769"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3760"/>
        <w:spacing w:after="0"/>
        <w:tabs>
          <w:tab w:leader="none" w:pos="59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FF"/>
        </w:rPr>
        <w:t xml:space="preserve">Exclusive Option Contract dated November 1, 2023, among Beijing </w:t>
      </w:r>
      <w:r>
        <w:rPr>
          <w:rFonts w:ascii="Times New Roman" w:cs="Times New Roman" w:eastAsia="Times New Roman" w:hAnsi="Times New Roman"/>
          <w:sz w:val="17"/>
          <w:szCs w:val="17"/>
          <w:color w:val="000000"/>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0000FF"/>
        </w:rPr>
        <w:t>Bohu, Beijing Rongke and each shareholder of Beijing Rongke,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29476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2947670" cy="825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u w:val="single" w:color="auto"/>
          <w:color w:val="0000FF"/>
        </w:rPr>
        <w:t>which replaced and superseded the version dated 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30543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Equity Pledge Contract dated November 1, 2023 among Beijing</w:t>
            </w:r>
          </w:p>
        </w:tc>
        <w:tc>
          <w:tcPr>
            <w:tcW w:w="200" w:type="dxa"/>
            <w:vAlign w:val="bottom"/>
            <w:gridSpan w:val="3"/>
          </w:tcPr>
          <w:p>
            <w:pPr>
              <w:spacing w:after="0"/>
              <w:rPr>
                <w:sz w:val="17"/>
                <w:szCs w:val="17"/>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500" w:type="dxa"/>
            <w:vAlign w:val="bottom"/>
          </w:tcPr>
          <w:p>
            <w:pPr>
              <w:spacing w:after="0"/>
              <w:rPr>
                <w:sz w:val="17"/>
                <w:szCs w:val="17"/>
                <w:color w:val="auto"/>
              </w:rPr>
            </w:pPr>
          </w:p>
        </w:tc>
        <w:tc>
          <w:tcPr>
            <w:tcW w:w="46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Bohu, Beijing Rongke and each shareholder of Beijing Rongke,</w:t>
            </w:r>
          </w:p>
        </w:tc>
        <w:tc>
          <w:tcPr>
            <w:tcW w:w="2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which replaced and superseded the version dated October 11, 2022</w:t>
            </w:r>
          </w:p>
        </w:tc>
        <w:tc>
          <w:tcPr>
            <w:tcW w:w="11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English translation of Powers of Attorney dated November 1, 2023</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500" w:type="dxa"/>
            <w:vAlign w:val="bottom"/>
          </w:tcPr>
          <w:p>
            <w:pPr>
              <w:spacing w:after="0"/>
              <w:rPr>
                <w:sz w:val="17"/>
                <w:szCs w:val="17"/>
                <w:color w:val="auto"/>
              </w:rPr>
            </w:pPr>
          </w:p>
        </w:tc>
        <w:tc>
          <w:tcPr>
            <w:tcW w:w="4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among Beijing Bohu and each of the shareholders of Beijing</w:t>
            </w:r>
          </w:p>
        </w:tc>
        <w:tc>
          <w:tcPr>
            <w:tcW w:w="4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Rongke, which replaced and superseded the version dated October</w:t>
            </w:r>
          </w:p>
        </w:tc>
        <w:tc>
          <w:tcPr>
            <w:tcW w:w="11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11, 2022</w:t>
            </w:r>
          </w:p>
        </w:tc>
        <w:tc>
          <w:tcPr>
            <w:tcW w:w="20" w:type="dxa"/>
            <w:vAlign w:val="bottom"/>
            <w:tcBorders>
              <w:top w:val="single" w:sz="8" w:color="0000FF"/>
              <w:bottom w:val="single" w:sz="8" w:color="0000EE"/>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60"/>
          </w:cols>
          <w:pgMar w:left="320" w:top="769" w:right="419" w:bottom="1440" w:gutter="0" w:footer="0" w:header="0"/>
        </w:sectPr>
      </w:pPr>
    </w:p>
    <w:p>
      <w:pPr>
        <w:spacing w:after="0" w:line="25" w:lineRule="exact"/>
        <w:rPr>
          <w:sz w:val="20"/>
          <w:szCs w:val="20"/>
          <w:color w:val="auto"/>
        </w:rPr>
      </w:pPr>
    </w:p>
    <w:p>
      <w:pPr>
        <w:ind w:left="1420" w:hanging="48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409">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spouse of each married shareholder of Ningxia Rongke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5222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252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10.5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80" w:space="380"/>
            <w:col w:w="4800"/>
          </w:cols>
          <w:pgMar w:left="320" w:top="769" w:right="419" w:bottom="1440" w:gutter="0" w:footer="0" w:header="0"/>
          <w:type w:val="continuous"/>
        </w:sect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412">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12">
        <w:r>
          <w:rPr>
            <w:rFonts w:ascii="Times New Roman" w:cs="Times New Roman" w:eastAsia="Times New Roman" w:hAnsi="Times New Roman"/>
            <w:sz w:val="17"/>
            <w:szCs w:val="17"/>
            <w:u w:val="single" w:color="auto"/>
            <w:color w:val="0000FF"/>
          </w:rPr>
          <w:t>between Beijing Yixin and Beijing Yiyi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9127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180" w:space="180"/>
            <w:col w:w="4800"/>
          </w:cols>
          <w:pgMar w:left="320" w:top="769" w:right="419" w:bottom="1440" w:gutter="0" w:footer="0" w:header="0"/>
          <w:type w:val="continuous"/>
        </w:sect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415">
        <w:r>
          <w:rPr>
            <w:rFonts w:ascii="Times New Roman" w:cs="Times New Roman" w:eastAsia="Times New Roman" w:hAnsi="Times New Roman"/>
            <w:sz w:val="18"/>
            <w:szCs w:val="18"/>
            <w:u w:val="single" w:color="auto"/>
            <w:color w:val="0000FF"/>
          </w:rPr>
          <w:t>English translation of Exclusive Option Contract among Beijing</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Yixin, shareholders of Beijing Yiyi and Beijing Yiyi dated October</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30, 2018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296354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296354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30873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30873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4000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10.7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40" w:space="120"/>
            <w:col w:w="4800"/>
          </w:cols>
          <w:pgMar w:left="320" w:top="769" w:right="419" w:bottom="1440" w:gutter="0" w:footer="0" w:header="0"/>
          <w:type w:val="continuous"/>
        </w:sect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419">
        <w:r>
          <w:rPr>
            <w:rFonts w:ascii="Times New Roman" w:cs="Times New Roman" w:eastAsia="Times New Roman" w:hAnsi="Times New Roman"/>
            <w:sz w:val="18"/>
            <w:szCs w:val="18"/>
            <w:u w:val="single" w:color="auto"/>
            <w:color w:val="0000FF"/>
          </w:rPr>
          <w:t>English translation of Equity Pledge Contract among Beijing Yixin,</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shareholders of Beijing Yiyi and Beijing Yiyi dated October 30,</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31222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312229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9476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29476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2286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10.8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80" w:space="80"/>
            <w:col w:w="4800"/>
          </w:cols>
          <w:pgMar w:left="320" w:top="769" w:right="419" w:bottom="1440" w:gutter="0" w:footer="0" w:header="0"/>
          <w:type w:val="continuous"/>
        </w:sectPr>
      </w:pPr>
    </w:p>
    <w:p>
      <w:pPr>
        <w:ind w:left="1420" w:hanging="48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423">
        <w:r>
          <w:rPr>
            <w:rFonts w:ascii="Times New Roman" w:cs="Times New Roman" w:eastAsia="Times New Roman" w:hAnsi="Times New Roman"/>
            <w:sz w:val="18"/>
            <w:szCs w:val="18"/>
            <w:u w:val="single" w:color="auto"/>
            <w:color w:val="0000FF"/>
          </w:rPr>
          <w:t>English translation of the Power of Attorney between Beijing Yixin</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and shareholders of Beijing Yiyi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311594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311594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5857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10.9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280" w:space="80"/>
            <w:col w:w="4800"/>
          </w:cols>
          <w:pgMar w:left="320" w:top="769" w:right="419" w:bottom="1440" w:gutter="0" w:footer="0" w:header="0"/>
          <w:type w:val="continuous"/>
        </w:sect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426">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26">
        <w:r>
          <w:rPr>
            <w:rFonts w:ascii="Times New Roman" w:cs="Times New Roman" w:eastAsia="Times New Roman" w:hAnsi="Times New Roman"/>
            <w:sz w:val="18"/>
            <w:szCs w:val="18"/>
            <w:u w:val="single" w:color="auto"/>
            <w:color w:val="0000FF"/>
          </w:rPr>
          <w:t>spouse of each married shareholder of Beijing Yiyi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3317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10.10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80" w:space="380"/>
            <w:col w:w="4800"/>
          </w:cols>
          <w:pgMar w:left="320" w:top="769" w:right="419" w:bottom="1440" w:gutter="0" w:footer="0" w:header="0"/>
          <w:type w:val="continuous"/>
        </w:sectPr>
      </w:pPr>
    </w:p>
    <w:p>
      <w:pPr>
        <w:ind w:left="1420" w:hanging="571"/>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429">
        <w:r>
          <w:rPr>
            <w:rFonts w:ascii="Times New Roman" w:cs="Times New Roman" w:eastAsia="Times New Roman" w:hAnsi="Times New Roman"/>
            <w:sz w:val="18"/>
            <w:szCs w:val="18"/>
            <w:u w:val="single" w:color="auto"/>
            <w:color w:val="0000FF"/>
          </w:rPr>
          <w:t>Form of Employment Agreement between the Registrant and its</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603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29603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8128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10.11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040" w:space="320"/>
            <w:col w:w="4800"/>
          </w:cols>
          <w:pgMar w:left="320" w:top="769" w:right="419" w:bottom="1440" w:gutter="0" w:footer="0" w:header="0"/>
          <w:type w:val="continuous"/>
        </w:sect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432">
        <w:r>
          <w:rPr>
            <w:rFonts w:ascii="Times New Roman" w:cs="Times New Roman" w:eastAsia="Times New Roman" w:hAnsi="Times New Roman"/>
            <w:sz w:val="18"/>
            <w:szCs w:val="18"/>
            <w:u w:val="single" w:color="auto"/>
            <w:color w:val="0000FF"/>
          </w:rPr>
          <w:t>Form of Indemnification Agreement between the Registrant and its</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directors and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31000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31000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14351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1435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Exhibit 10.12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260" w:space="100"/>
            <w:col w:w="4800"/>
          </w:cols>
          <w:pgMar w:left="320" w:top="769" w:right="419" w:bottom="1440" w:gutter="0" w:footer="0" w:header="0"/>
          <w:type w:val="continuous"/>
        </w:sect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435">
        <w:r>
          <w:rPr>
            <w:rFonts w:ascii="Times New Roman" w:cs="Times New Roman" w:eastAsia="Times New Roman" w:hAnsi="Times New Roman"/>
            <w:sz w:val="17"/>
            <w:szCs w:val="17"/>
            <w:u w:val="single" w:color="auto"/>
            <w:color w:val="0000FF"/>
          </w:rPr>
          <w:t xml:space="preserve">Consolidated Clearing Agreement between IB LLC and Top Capital </w:t>
        </w:r>
      </w:hyperlink>
      <w:r>
        <w:rPr>
          <w:rFonts w:ascii="Times New Roman" w:cs="Times New Roman" w:eastAsia="Times New Roman" w:hAnsi="Times New Roman"/>
          <w:sz w:val="17"/>
          <w:szCs w:val="17"/>
          <w:color w:val="000000"/>
        </w:rPr>
        <w:t>Exhibit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10.13 to the registration statement on Form F-1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3124200" cy="8890"/>
                    </a:xfrm>
                    <a:prstGeom prst="rect">
                      <a:avLst/>
                    </a:prstGeom>
                    <a:noFill/>
                  </pic:spPr>
                </pic:pic>
              </a:graphicData>
            </a:graphic>
          </wp:anchor>
        </w:drawing>
      </w:r>
    </w:p>
    <w:p>
      <w:pPr>
        <w:spacing w:after="0" w:line="7" w:lineRule="exact"/>
        <w:rPr>
          <w:sz w:val="20"/>
          <w:szCs w:val="20"/>
          <w:color w:val="auto"/>
        </w:rPr>
      </w:pPr>
    </w:p>
    <w:p>
      <w:pPr>
        <w:ind w:left="6360" w:hanging="4936"/>
        <w:spacing w:after="0" w:line="260" w:lineRule="auto"/>
        <w:tabs>
          <w:tab w:leader="none" w:pos="6340" w:val="left"/>
        </w:tabs>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u w:val="single" w:color="auto"/>
            <w:color w:val="0000FF"/>
          </w:rPr>
          <w:t>Partners Limited</w:t>
        </w:r>
      </w:hyperlink>
      <w:r>
        <w:rPr>
          <w:rFonts w:ascii="Times New Roman" w:cs="Times New Roman" w:eastAsia="Times New Roman" w:hAnsi="Times New Roman"/>
          <w:sz w:val="18"/>
          <w:szCs w:val="18"/>
          <w:color w:val="0000FF"/>
        </w:rPr>
        <w:tab/>
        <w:t>333-229808), as amended, initially filed with the SEC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-172720</wp:posOffset>
            </wp:positionV>
            <wp:extent cx="7645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440">
        <w:r>
          <w:rPr>
            <w:rFonts w:ascii="Times New Roman" w:cs="Times New Roman" w:eastAsia="Times New Roman" w:hAnsi="Times New Roman"/>
            <w:sz w:val="18"/>
            <w:szCs w:val="18"/>
            <w:u w:val="single" w:color="auto"/>
            <w:color w:val="0000FF"/>
          </w:rPr>
          <w:t>Fully Disclosed Clearing Agreement between IB LLC and Top</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Capital Partners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013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11233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58" w:lineRule="exact"/>
        <w:rPr>
          <w:sz w:val="20"/>
          <w:szCs w:val="20"/>
          <w:color w:val="auto"/>
        </w:r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443">
        <w:r>
          <w:rPr>
            <w:rFonts w:ascii="Times New Roman" w:cs="Times New Roman" w:eastAsia="Times New Roman" w:hAnsi="Times New Roman"/>
            <w:sz w:val="17"/>
            <w:szCs w:val="17"/>
            <w:u w:val="single" w:color="auto"/>
            <w:color w:val="0000FF"/>
          </w:rPr>
          <w:t>Lease Contract for the Singapore office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0276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right="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445">
        <w:r>
          <w:rPr>
            <w:rFonts w:ascii="Times New Roman" w:cs="Times New Roman" w:eastAsia="Times New Roman" w:hAnsi="Times New Roman"/>
            <w:sz w:val="18"/>
            <w:szCs w:val="18"/>
            <w:u w:val="single" w:color="auto"/>
            <w:color w:val="0000FF"/>
          </w:rPr>
          <w:t>Subscription Agreement by and between the Registrant and IB</w:t>
        </w:r>
      </w:hyperlink>
      <w:r>
        <w:rPr>
          <w:rFonts w:ascii="Times New Roman" w:cs="Times New Roman" w:eastAsia="Times New Roman" w:hAnsi="Times New Roman"/>
          <w:sz w:val="18"/>
          <w:szCs w:val="18"/>
          <w:u w:val="single" w:color="auto"/>
          <w:color w:val="0000FF"/>
        </w:rPr>
        <w:t xml:space="preserve"> </w:t>
      </w:r>
      <w:hyperlink r:id="rId445">
        <w:r>
          <w:rPr>
            <w:rFonts w:ascii="Times New Roman" w:cs="Times New Roman" w:eastAsia="Times New Roman" w:hAnsi="Times New Roman"/>
            <w:sz w:val="18"/>
            <w:szCs w:val="18"/>
            <w:u w:val="single" w:color="auto"/>
            <w:color w:val="0000FF"/>
          </w:rPr>
          <w:t>Global Investments LLC dated March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8905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28905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1101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10.14 to the registration statement on Form F-1 (File No. 333-229808), as amended, initially filed with the SEC on February 22, 2019)</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Filed as Exhibit 4.15 to the annual report on Form 20-F (File No. 001-38833) filed with the SEC on April 26, 2023</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40" w:space="420"/>
            <w:col w:w="4880"/>
          </w:cols>
          <w:pgMar w:left="320" w:top="769" w:right="339" w:bottom="1440" w:gutter="0" w:footer="0" w:header="0"/>
        </w:sect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448">
        <w:r>
          <w:rPr>
            <w:rFonts w:ascii="Times New Roman" w:cs="Times New Roman" w:eastAsia="Times New Roman" w:hAnsi="Times New Roman"/>
            <w:sz w:val="17"/>
            <w:szCs w:val="17"/>
            <w:u w:val="single" w:color="auto"/>
            <w:color w:val="0000FF"/>
          </w:rPr>
          <w:t>UP Fintech Holding Limited Share Incentive Plan adopted in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0587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7"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448">
        <w:r>
          <w:rPr>
            <w:rFonts w:ascii="Times New Roman" w:cs="Times New Roman" w:eastAsia="Times New Roman" w:hAnsi="Times New Roman"/>
            <w:sz w:val="18"/>
            <w:szCs w:val="18"/>
            <w:u w:val="single" w:color="auto"/>
            <w:color w:val="0000FF"/>
          </w:rPr>
          <w:t>2018 and amended in December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17354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10.17 to the registration statement on Form F-1 (File No. 333-229808), as amended, initially filed with the SEC on February 22, 2019)</w:t>
      </w:r>
    </w:p>
    <w:p>
      <w:pPr>
        <w:spacing w:after="0" w:line="163" w:lineRule="exact"/>
        <w:rPr>
          <w:sz w:val="20"/>
          <w:szCs w:val="20"/>
          <w:color w:val="auto"/>
        </w:rPr>
      </w:pPr>
    </w:p>
    <w:p>
      <w:pPr>
        <w:sectPr>
          <w:pgSz w:w="11900" w:h="16838" w:orient="portrait"/>
          <w:cols w:equalWidth="0" w:num="2">
            <w:col w:w="6180" w:space="180"/>
            <w:col w:w="48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4.18†</w:t>
            </w:r>
          </w:p>
        </w:tc>
        <w:tc>
          <w:tcPr>
            <w:tcW w:w="42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UP Fintech Holding Limited Amended and Restated 2019</w:t>
              </w:r>
            </w:hyperlink>
          </w:p>
        </w:tc>
        <w:tc>
          <w:tcPr>
            <w:tcW w:w="700" w:type="dxa"/>
            <w:vAlign w:val="bottom"/>
            <w:gridSpan w:val="8"/>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registration statement on Form S-8 (File No.</w:t>
            </w:r>
          </w:p>
        </w:tc>
      </w:tr>
      <w:tr>
        <w:trPr>
          <w:trHeight w:val="196"/>
        </w:trPr>
        <w:tc>
          <w:tcPr>
            <w:tcW w:w="1420" w:type="dxa"/>
            <w:vAlign w:val="bottom"/>
          </w:tcPr>
          <w:p>
            <w:pPr>
              <w:spacing w:after="0"/>
              <w:rPr>
                <w:sz w:val="17"/>
                <w:szCs w:val="17"/>
                <w:color w:val="auto"/>
              </w:rPr>
            </w:pPr>
          </w:p>
        </w:tc>
        <w:tc>
          <w:tcPr>
            <w:tcW w:w="4920" w:type="dxa"/>
            <w:vAlign w:val="bottom"/>
            <w:gridSpan w:val="13"/>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Performance Incentive Plan</w:t>
              </w:r>
            </w:hyperlink>
          </w:p>
        </w:tc>
        <w:tc>
          <w:tcPr>
            <w:tcW w:w="4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333-259241) filed with the SEC on September 1, 2021</w:t>
            </w: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8.1</w:t>
            </w:r>
          </w:p>
        </w:tc>
        <w:tc>
          <w:tcPr>
            <w:tcW w:w="4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List of principal subsidiaries and consolidated affiliated entities of</w:t>
            </w:r>
          </w:p>
        </w:tc>
        <w:tc>
          <w:tcPr>
            <w:tcW w:w="100" w:type="dxa"/>
            <w:vAlign w:val="bottom"/>
            <w:gridSpan w:val="2"/>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Registrant</w:t>
            </w:r>
          </w:p>
        </w:tc>
        <w:tc>
          <w:tcPr>
            <w:tcW w:w="49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11.1†</w:t>
            </w:r>
          </w:p>
        </w:tc>
        <w:tc>
          <w:tcPr>
            <w:tcW w:w="4920" w:type="dxa"/>
            <w:vAlign w:val="bottom"/>
            <w:gridSpan w:val="13"/>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Code of Business Conduct and Ethics</w:t>
              </w:r>
            </w:hyperlink>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99.8 to the registration statement on Form F-1 (File No.</w:t>
            </w:r>
          </w:p>
        </w:tc>
      </w:tr>
      <w:tr>
        <w:trPr>
          <w:trHeight w:val="218"/>
        </w:trPr>
        <w:tc>
          <w:tcPr>
            <w:tcW w:w="1420" w:type="dxa"/>
            <w:vAlign w:val="bottom"/>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333-229808), as amended, initially filed with the SEC on February</w:t>
            </w:r>
          </w:p>
        </w:tc>
      </w:tr>
      <w:tr>
        <w:trPr>
          <w:trHeight w:val="234"/>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22, 2019)</w:t>
            </w:r>
          </w:p>
        </w:tc>
      </w:tr>
      <w:tr>
        <w:trPr>
          <w:trHeight w:val="391"/>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12.1</w:t>
            </w:r>
          </w:p>
        </w:tc>
        <w:tc>
          <w:tcPr>
            <w:tcW w:w="4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160" w:type="dxa"/>
            <w:vAlign w:val="bottom"/>
            <w:gridSpan w:val="4"/>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12.2</w:t>
            </w: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13.1</w:t>
            </w:r>
          </w:p>
        </w:tc>
        <w:tc>
          <w:tcPr>
            <w:tcW w:w="4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c>
          <w:tcPr>
            <w:tcW w:w="120" w:type="dxa"/>
            <w:vAlign w:val="bottom"/>
            <w:gridSpan w:val="3"/>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13.2</w:t>
            </w:r>
          </w:p>
        </w:tc>
        <w:tc>
          <w:tcPr>
            <w:tcW w:w="4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180" w:type="dxa"/>
            <w:vAlign w:val="bottom"/>
            <w:gridSpan w:val="5"/>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15.1</w:t>
            </w: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KPMG Huazhen LLP Certified Public Accountants</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15.2</w:t>
            </w:r>
          </w:p>
        </w:tc>
        <w:tc>
          <w:tcPr>
            <w:tcW w:w="4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DaHui Lawyers</w:t>
            </w:r>
          </w:p>
        </w:tc>
        <w:tc>
          <w:tcPr>
            <w:tcW w:w="400" w:type="dxa"/>
            <w:vAlign w:val="bottom"/>
            <w:gridSpan w:val="7"/>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420" w:type="dxa"/>
            <w:vAlign w:val="bottom"/>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34"/>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15.3</w:t>
            </w: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registrant hereby agrees to furnish to the SEC, upon request,</w:t>
            </w:r>
          </w:p>
        </w:tc>
        <w:tc>
          <w:tcPr>
            <w:tcW w:w="490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copies of instruments defining the rights of holder of long-term debt</w:t>
            </w:r>
          </w:p>
        </w:tc>
        <w:tc>
          <w:tcPr>
            <w:tcW w:w="49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of the registrant and its consolidated subsidiaries and for any of its</w:t>
            </w:r>
          </w:p>
        </w:tc>
        <w:tc>
          <w:tcPr>
            <w:tcW w:w="4900" w:type="dxa"/>
            <w:vAlign w:val="bottom"/>
          </w:tcPr>
          <w:p>
            <w:pPr>
              <w:spacing w:after="0"/>
              <w:rPr>
                <w:sz w:val="20"/>
                <w:szCs w:val="20"/>
                <w:color w:val="auto"/>
              </w:rPr>
            </w:pPr>
          </w:p>
        </w:tc>
      </w:tr>
      <w:tr>
        <w:trPr>
          <w:trHeight w:val="648"/>
        </w:trPr>
        <w:tc>
          <w:tcPr>
            <w:tcW w:w="1420" w:type="dxa"/>
            <w:vAlign w:val="bottom"/>
          </w:tcPr>
          <w:p>
            <w:pPr>
              <w:spacing w:after="0"/>
              <w:rPr>
                <w:sz w:val="24"/>
                <w:szCs w:val="24"/>
                <w:color w:val="auto"/>
              </w:rPr>
            </w:pPr>
          </w:p>
        </w:tc>
        <w:tc>
          <w:tcPr>
            <w:tcW w:w="4520" w:type="dxa"/>
            <w:vAlign w:val="bottom"/>
            <w:gridSpan w:val="6"/>
          </w:tcPr>
          <w:p>
            <w:pPr>
              <w:ind w:left="406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unconsolidated subsidiaries for which financial statements are</w:t>
            </w:r>
          </w:p>
        </w:tc>
      </w:tr>
      <w:tr>
        <w:trPr>
          <w:trHeight w:val="234"/>
        </w:trPr>
        <w:tc>
          <w:tcPr>
            <w:tcW w:w="940" w:type="dxa"/>
            <w:vAlign w:val="bottom"/>
          </w:tcPr>
          <w:p>
            <w:pPr>
              <w:spacing w:after="0"/>
              <w:rPr>
                <w:sz w:val="20"/>
                <w:szCs w:val="20"/>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to the filed.</w:t>
            </w:r>
          </w:p>
        </w:tc>
      </w:tr>
      <w:tr>
        <w:trPr>
          <w:trHeight w:val="391"/>
        </w:trPr>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 xml:space="preserve">UP Fintech Holding Limited Policy on Recoupment of Incentive   </w:t>
            </w:r>
            <w:r>
              <w:rPr>
                <w:rFonts w:ascii="Times New Roman" w:cs="Times New Roman" w:eastAsia="Times New Roman" w:hAnsi="Times New Roman"/>
                <w:sz w:val="18"/>
                <w:szCs w:val="18"/>
                <w:color w:val="0000EE"/>
              </w:rPr>
              <w:t>Filed herewith</w:t>
            </w:r>
          </w:p>
        </w:tc>
      </w:tr>
      <w:tr>
        <w:trPr>
          <w:trHeight w:val="196"/>
        </w:trPr>
        <w:tc>
          <w:tcPr>
            <w:tcW w:w="940" w:type="dxa"/>
            <w:vAlign w:val="bottom"/>
          </w:tcPr>
          <w:p>
            <w:pPr>
              <w:spacing w:after="0"/>
              <w:rPr>
                <w:sz w:val="17"/>
                <w:szCs w:val="17"/>
                <w:color w:val="auto"/>
              </w:rPr>
            </w:pPr>
          </w:p>
        </w:tc>
        <w:tc>
          <w:tcPr>
            <w:tcW w:w="10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Compensation</w:t>
            </w:r>
          </w:p>
        </w:tc>
        <w:tc>
          <w:tcPr>
            <w:tcW w:w="20" w:type="dxa"/>
            <w:vAlign w:val="bottom"/>
            <w:tcBorders>
              <w:top w:val="single" w:sz="8" w:color="0000FF"/>
              <w:bottom w:val="single" w:sz="8" w:color="0000EE"/>
            </w:tcBorders>
          </w:tcPr>
          <w:p>
            <w:pPr>
              <w:spacing w:after="0"/>
              <w:rPr>
                <w:sz w:val="17"/>
                <w:szCs w:val="17"/>
                <w:color w:val="auto"/>
              </w:rPr>
            </w:pPr>
          </w:p>
        </w:tc>
        <w:tc>
          <w:tcPr>
            <w:tcW w:w="3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r>
      <w:tr>
        <w:trPr>
          <w:trHeight w:val="434"/>
        </w:trPr>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101.INS</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w:t>
            </w:r>
          </w:p>
        </w:tc>
      </w:tr>
      <w:tr>
        <w:trPr>
          <w:trHeight w:val="216"/>
        </w:trPr>
        <w:tc>
          <w:tcPr>
            <w:tcW w:w="94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appear in the Interactive Data File as its XBRL tags are embedded</w:t>
            </w:r>
          </w:p>
        </w:tc>
      </w:tr>
      <w:tr>
        <w:trPr>
          <w:trHeight w:val="234"/>
        </w:trPr>
        <w:tc>
          <w:tcPr>
            <w:tcW w:w="940" w:type="dxa"/>
            <w:vAlign w:val="bottom"/>
          </w:tcPr>
          <w:p>
            <w:pPr>
              <w:spacing w:after="0"/>
              <w:rPr>
                <w:sz w:val="20"/>
                <w:szCs w:val="20"/>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14"/>
        </w:trPr>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r>
      <w:tr>
        <w:trPr>
          <w:trHeight w:val="234"/>
        </w:trPr>
        <w:tc>
          <w:tcPr>
            <w:tcW w:w="940" w:type="dxa"/>
            <w:vAlign w:val="bottom"/>
          </w:tcPr>
          <w:p>
            <w:pPr>
              <w:spacing w:after="0"/>
              <w:rPr>
                <w:sz w:val="20"/>
                <w:szCs w:val="20"/>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Documents</w:t>
            </w:r>
          </w:p>
        </w:tc>
      </w:tr>
    </w:tbl>
    <w:p>
      <w:pPr>
        <w:spacing w:after="0" w:line="198" w:lineRule="exact"/>
        <w:rPr>
          <w:sz w:val="20"/>
          <w:szCs w:val="20"/>
          <w:color w:val="auto"/>
        </w:rPr>
      </w:pPr>
    </w:p>
    <w:p>
      <w:pPr>
        <w:ind w:left="1420" w:hanging="538"/>
        <w:spacing w:after="0"/>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has duly caused and authorized the undersigned to sign this annual report on its behalf.</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UP FINTECH HOLDING LIMITED</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Tianhua Wu</w:t>
            </w:r>
          </w:p>
        </w:tc>
      </w:tr>
      <w:tr>
        <w:trPr>
          <w:trHeight w:val="191"/>
        </w:trPr>
        <w:tc>
          <w:tcPr>
            <w:tcW w:w="56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Tianhua Wu</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Director</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22, 2024</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4" w:name="page155"/>
    <w:bookmarkEnd w:id="154"/>
    <w:tbl>
      <w:tblPr>
        <w:tblLayout w:type="fixed"/>
        <w:tblInd w:w="10" w:type="dxa"/>
        <w:tblCellMar>
          <w:top w:w="0" w:type="dxa"/>
          <w:left w:w="0" w:type="dxa"/>
          <w:bottom w:w="0" w:type="dxa"/>
          <w:right w:w="0" w:type="dxa"/>
        </w:tblCellMar>
      </w:tblPr>
      <w:tr>
        <w:trPr>
          <w:trHeight w:val="207"/>
        </w:trPr>
        <w:tc>
          <w:tcPr>
            <w:tcW w:w="10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85"/>
        </w:trPr>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gridSpan w:val="11"/>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gridSpan w:val="11"/>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2021, 2022 and 2023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07"/>
        </w:trPr>
        <w:tc>
          <w:tcPr>
            <w:tcW w:w="1002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256"/>
        </w:trPr>
        <w:tc>
          <w:tcPr>
            <w:tcW w:w="1002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1186</w:t>
            </w:r>
            <w:r>
              <w:rPr>
                <w:rFonts w:ascii="Verdana" w:cs="Verdana" w:eastAsia="Verdana" w:hAnsi="Verdana"/>
                <w:sz w:val="18"/>
                <w:szCs w:val="18"/>
                <w:color w:val="000000"/>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9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7"/>
        </w:trPr>
        <w:tc>
          <w:tcPr>
            <w:tcW w:w="608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2023</w:t>
            </w:r>
          </w:p>
        </w:tc>
        <w:tc>
          <w:tcPr>
            <w:tcW w:w="20" w:type="dxa"/>
            <w:vAlign w:val="bottom"/>
            <w:tcBorders>
              <w:bottom w:val="single" w:sz="8" w:color="0000EE"/>
            </w:tcBorders>
          </w:tcPr>
          <w:p>
            <w:pPr>
              <w:spacing w:after="0"/>
              <w:rPr>
                <w:sz w:val="24"/>
                <w:szCs w:val="24"/>
                <w:color w:val="auto"/>
              </w:rPr>
            </w:pPr>
          </w:p>
        </w:tc>
        <w:tc>
          <w:tcPr>
            <w:tcW w:w="392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77"/>
        </w:trPr>
        <w:tc>
          <w:tcPr>
            <w:tcW w:w="1000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2021,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7"/>
        </w:trPr>
        <w:tc>
          <w:tcPr>
            <w:tcW w:w="964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w:t>
            </w:r>
          </w:p>
        </w:tc>
        <w:tc>
          <w:tcPr>
            <w:tcW w:w="3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2021, 2022 AND 2023</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7"/>
        </w:trPr>
        <w:tc>
          <w:tcPr>
            <w:tcW w:w="91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2021, 2022 AND 2023</w:t>
            </w:r>
          </w:p>
        </w:tc>
        <w:tc>
          <w:tcPr>
            <w:tcW w:w="20" w:type="dxa"/>
            <w:vAlign w:val="bottom"/>
            <w:tcBorders>
              <w:bottom w:val="single" w:sz="8" w:color="0000EE"/>
            </w:tcBorders>
          </w:tcPr>
          <w:p>
            <w:pPr>
              <w:spacing w:after="0"/>
              <w:rPr>
                <w:sz w:val="24"/>
                <w:szCs w:val="24"/>
                <w:color w:val="auto"/>
              </w:rPr>
            </w:pPr>
          </w:p>
        </w:tc>
        <w:tc>
          <w:tcPr>
            <w:tcW w:w="9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77"/>
        </w:trPr>
        <w:tc>
          <w:tcPr>
            <w:tcW w:w="95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FOR THE YEARS ENDED DECEMBER 31, 2021, 2022 AND 2023</w:t>
            </w:r>
          </w:p>
        </w:tc>
        <w:tc>
          <w:tcPr>
            <w:tcW w:w="4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898"/>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gridSpan w:val="11"/>
          </w:tcPr>
          <w:p>
            <w:pPr>
              <w:jc w:val="center"/>
              <w:ind w:right="660"/>
              <w:spacing w:after="0"/>
              <w:rPr>
                <w:sz w:val="20"/>
                <w:szCs w:val="20"/>
                <w:color w:val="auto"/>
              </w:rPr>
            </w:pPr>
            <w:r>
              <w:rPr>
                <w:rFonts w:ascii="Times New Roman" w:cs="Times New Roman" w:eastAsia="Times New Roman" w:hAnsi="Times New Roman"/>
                <w:sz w:val="18"/>
                <w:szCs w:val="18"/>
                <w:color w:val="auto"/>
                <w:w w:val="95"/>
              </w:rPr>
              <w:t>F-1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Holding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Consolidated Financial Statements and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UP Fintech Holding Limited and subsidiaries (the Company) as of December 31, 2022 and 2023, the related consolidated statements of comprehensive income (loss), changes in shareholders’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2023,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Realizability of deferred tax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Group’s deferred tax assets and valuation allowance were US$31,046,055 and US$18,262,801, respectively, as of December 31, 2023. Deferred tax assets are reduced by a valuation allowance if, in the opinion of management, it is more-likely-than-not that some portion or all of the deferred tax assets will not be realized. The realizability of deferred tax assets requires significant judgment associated with evaluation of past and projected financial performance which incorporates projections of future taxable income, including forecasted revenues and expenses, by tax-paying component.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A high degree of subjective auditor judgment was required in assessing the Group’s forecasted revenue, operating cost and expenses by tax-paying component which are the key assumptions in estimating future taxable income over the period in which deferred tax assets will be realized. Such key assumptions are sensitive to variation, such that minor changes could have an impact on the Group’s evaluation of the realizability of the deferred tax assets.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Group’s process for evaluating the realizability of deferred tax assets, including controls related to the development of assumptions in estimating future taxable income. We assessed the Group’s estimate of future taxable income by tax-paying component, including forecasted revenue and operating cost and expenses by comparing them to historical results. We compared the historical forecasts of taxable income to actual results to assess the Group’s ability to accurately forecast. We also performed sensitivity analysis over the assumptions related to the forecasted revenue, operating cost and expenses by tax-paying component to assess the impact of changes in those assumptions on the realizability assessment. We involved income tax professionals with specialized skills and knowledge, who assisted in assessing the Group’s interpretation and application of the relevant tax laws and regulations used to calculate future taxable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00"/>
        <w:spacing w:after="0" w:line="299"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BALANCE SHEETS (All amounts in US$, except for share, per share data, or otherwise noted)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tcPr>
          <w:p>
            <w:pPr>
              <w:spacing w:after="0"/>
              <w:rPr>
                <w:sz w:val="14"/>
                <w:szCs w:val="14"/>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400" w:type="dxa"/>
            <w:vAlign w:val="bottom"/>
          </w:tcPr>
          <w:p>
            <w:pPr>
              <w:spacing w:after="0"/>
              <w:rPr>
                <w:sz w:val="13"/>
                <w:szCs w:val="13"/>
                <w:color w:val="auto"/>
              </w:rPr>
            </w:pPr>
          </w:p>
        </w:tc>
        <w:tc>
          <w:tcPr>
            <w:tcW w:w="12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0" w:type="dxa"/>
            <w:vAlign w:val="bottom"/>
          </w:tcPr>
          <w:p>
            <w:pPr>
              <w:spacing w:after="0"/>
              <w:rPr>
                <w:sz w:val="13"/>
                <w:szCs w:val="13"/>
                <w:color w:val="auto"/>
              </w:rPr>
            </w:pPr>
          </w:p>
        </w:tc>
        <w:tc>
          <w:tcPr>
            <w:tcW w:w="122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277,660,847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322,599,616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Cash-segregated for regulatory purpose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1,678,067,682</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1,617,154,185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Term deposits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945,533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Receivables from customers (net of allowance of US$696,508 and US$991,286 as of December 31, 2022 and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644,691,190</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753,361,199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Receivables from brokers, dealers, and clearing organizations (net of allowance of nil as of December 31, 2022 and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956,945,581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541,876,929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Financial instruments held, at fair value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162,535,184</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428,159,554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12,963,375</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17,936,180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4,769,475</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7,987,756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3,738,578,867</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3,689,972,102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Long-term deposits</w:t>
            </w:r>
          </w:p>
        </w:tc>
        <w:tc>
          <w:tcPr>
            <w:tcW w:w="192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4,225,412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Right-of-use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13,960,092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9,067,885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Property, equipment and intangible assets, net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16,504,065</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16,429,543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Goodwill</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2,492,668</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Long-term investments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7,928,499</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7,586,483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4,773,925</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Deferred tax assets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13,122,272</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10,990,998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3,797,360,388</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3,746,047,103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Payables to customers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2,996,405,447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2,913,306,558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Payables to brokers, dealers and clearing organizations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138,620,746</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114,771,931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Accrued expenses and other current liabilities (including accrued expenses and other current liabilities of the consolidated</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VIEs without recourse to the Group of US$11,128,854 and US$10,223,751 as of December 31, 2022 and 2023,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37,777,749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42,381,946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Deferred income – current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1,800,298</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819,809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Lease liabilities – current (including lease liabilities – current of the consolidated VIEs without recourse to the Group of</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US$1,166,763 and US$734,591 as of December 31,2022 and 2023,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5,490,079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4,133,883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Amount due to related parties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461,704</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10,148,142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3,180,556,023</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3,085,562,269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Convertible bonds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154,337,483</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156,887,691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 non-current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388,423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840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Lease liabilities – non-current (including lease liabilities – non-current of the consolidated VIEs without recourse to the</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Group of US640,253 and US$72,985 as of December 31, 2022 and 2023, respectively)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8,390,077</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4,777,134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Deferred tax liabilities (including deferred tax liabilities of the consolidated VIEs without recourse to the Group of US$274</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2,059,748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3,397,831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and US$1,653 as of December 31, 2022 and 2023, respectively)</w:t>
            </w:r>
          </w:p>
        </w:tc>
        <w:tc>
          <w:tcPr>
            <w:tcW w:w="12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3,345,731,754</w:t>
            </w:r>
          </w:p>
        </w:tc>
        <w:tc>
          <w:tcPr>
            <w:tcW w:w="22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3,250,624,925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19)</w:t>
            </w: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Subscriptions receivable from redeemable non-controlling interests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(43,496 )</w:t>
            </w: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8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4,685,238</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6,706,660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Mezzanine equity</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4,641,742</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6,706,660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4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Class A ordinary shares (US$0.00001 par value; 4,662,388,278 shares authorized as of December 31, 2022 and 2023,</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2,221,403,067 and 2,252,892,845 shares issued and outstanding as of December 31, 2022 and 2023,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400" w:type="dxa"/>
            <w:vAlign w:val="bottom"/>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Class B ordinary shares (US$0.00001 par value; 337,611,722 shares authorized as of December 31, 2022 and 2023,</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97,611,722 shares issued and outstanding as of December 31, 2022 and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495,705,684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505,448,080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Statutory reserve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6,171,627</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8,511,039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(50,366,734 )</w:t>
            </w:r>
          </w:p>
        </w:tc>
        <w:tc>
          <w:tcPr>
            <w:tcW w:w="4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(19,600,434 )</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Treasury stock (10,429,305 shares as of December 31, 2022 and 2023)</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(2,172,819 )</w:t>
            </w:r>
          </w:p>
        </w:tc>
        <w:tc>
          <w:tcPr>
            <w:tcW w:w="4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(2,172,819 )</w:t>
            </w:r>
          </w:p>
        </w:tc>
        <w:tc>
          <w:tcPr>
            <w:tcW w:w="0" w:type="dxa"/>
            <w:vAlign w:val="bottom"/>
          </w:tcPr>
          <w:p>
            <w:pPr>
              <w:spacing w:after="0"/>
              <w:rPr>
                <w:sz w:val="1"/>
                <w:szCs w:val="1"/>
                <w:color w:val="auto"/>
              </w:rPr>
            </w:pPr>
          </w:p>
        </w:tc>
      </w:tr>
      <w:tr>
        <w:trPr>
          <w:trHeight w:val="162"/>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(2,231,411 )</w:t>
            </w:r>
          </w:p>
        </w:tc>
        <w:tc>
          <w:tcPr>
            <w:tcW w:w="4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(3,232,993 )</w:t>
            </w:r>
          </w:p>
        </w:tc>
        <w:tc>
          <w:tcPr>
            <w:tcW w:w="0" w:type="dxa"/>
            <w:vAlign w:val="bottom"/>
          </w:tcPr>
          <w:p>
            <w:pPr>
              <w:spacing w:after="0"/>
              <w:rPr>
                <w:sz w:val="1"/>
                <w:szCs w:val="1"/>
                <w:color w:val="auto"/>
              </w:rPr>
            </w:pPr>
          </w:p>
        </w:tc>
      </w:tr>
      <w:tr>
        <w:trPr>
          <w:trHeight w:val="155"/>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UP Fintech shareholders’ equity</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447,129,536</w:t>
            </w:r>
          </w:p>
        </w:tc>
        <w:tc>
          <w:tcPr>
            <w:tcW w:w="22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488,976,377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(142,644 )</w:t>
            </w:r>
          </w:p>
        </w:tc>
        <w:tc>
          <w:tcPr>
            <w:tcW w:w="48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(260,859 )</w:t>
            </w:r>
          </w:p>
        </w:tc>
        <w:tc>
          <w:tcPr>
            <w:tcW w:w="0" w:type="dxa"/>
            <w:vAlign w:val="bottom"/>
          </w:tcPr>
          <w:p>
            <w:pPr>
              <w:spacing w:after="0"/>
              <w:rPr>
                <w:sz w:val="1"/>
                <w:szCs w:val="1"/>
                <w:color w:val="auto"/>
              </w:rPr>
            </w:pPr>
          </w:p>
        </w:tc>
      </w:tr>
      <w:tr>
        <w:trPr>
          <w:trHeight w:val="155"/>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446,986,892</w:t>
            </w:r>
          </w:p>
        </w:tc>
        <w:tc>
          <w:tcPr>
            <w:tcW w:w="22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488,715,518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equity and equity</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3,797,360,388</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3,746,047,103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-4679950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-3839845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-2811145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-2005330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-1584960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-359410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-136525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332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3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3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30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Revenues</w:t>
            </w:r>
            <w:r>
              <w:rPr>
                <w:rFonts w:ascii="Times New Roman" w:cs="Times New Roman" w:eastAsia="Times New Roman" w:hAnsi="Times New Roman"/>
                <w:sz w:val="21"/>
                <w:szCs w:val="21"/>
                <w:b w:val="1"/>
                <w:bCs w:val="1"/>
                <w:color w:val="auto"/>
                <w:vertAlign w:val="superscript"/>
              </w:rPr>
              <w:t>(a)</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Commissions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147,198,648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108,118,464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92,593,458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related income</w:t>
            </w: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service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9,268,819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7,903,057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70,335,156</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85,150,424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revenues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37,685,539</w:t>
            </w: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24,193,602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264,488,162</w:t>
            </w: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225,365,547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272,507,595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Interest expense</w:t>
            </w:r>
            <w:r>
              <w:rPr>
                <w:rFonts w:ascii="Times New Roman" w:cs="Times New Roman" w:eastAsia="Times New Roman" w:hAnsi="Times New Roman"/>
                <w:sz w:val="21"/>
                <w:szCs w:val="21"/>
                <w:color w:val="auto"/>
                <w:vertAlign w:val="superscript"/>
              </w:rPr>
              <w:t>(a)</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(18,378,823 )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(18,668,523 )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(46,957,657 )</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246,109,339</w:t>
            </w: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206,697,024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225,549,938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0"/>
              <w:spacing w:after="0" w:line="238" w:lineRule="exact"/>
              <w:rPr>
                <w:sz w:val="20"/>
                <w:szCs w:val="20"/>
                <w:color w:val="auto"/>
              </w:rPr>
            </w:pPr>
            <w:r>
              <w:rPr>
                <w:rFonts w:ascii="Times New Roman" w:cs="Times New Roman" w:eastAsia="Times New Roman" w:hAnsi="Times New Roman"/>
                <w:sz w:val="16"/>
                <w:szCs w:val="16"/>
                <w:color w:val="auto"/>
              </w:rPr>
              <w:t>Execution and clearing</w:t>
            </w:r>
            <w:r>
              <w:rPr>
                <w:rFonts w:ascii="Times New Roman" w:cs="Times New Roman" w:eastAsia="Times New Roman" w:hAnsi="Times New Roman"/>
                <w:sz w:val="21"/>
                <w:szCs w:val="21"/>
                <w:color w:val="auto"/>
                <w:vertAlign w:val="superscript"/>
              </w:rPr>
              <w:t>(a)</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(31,143,578 )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(15,607,914 )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(9,084,089 )</w:t>
            </w:r>
          </w:p>
        </w:tc>
        <w:tc>
          <w:tcPr>
            <w:tcW w:w="0" w:type="dxa"/>
            <w:vAlign w:val="bottom"/>
          </w:tcPr>
          <w:p>
            <w:pPr>
              <w:spacing w:after="0"/>
              <w:rPr>
                <w:sz w:val="1"/>
                <w:szCs w:val="1"/>
                <w:color w:val="auto"/>
              </w:rPr>
            </w:pPr>
          </w:p>
        </w:tc>
      </w:tr>
      <w:tr>
        <w:trPr>
          <w:trHeight w:val="202"/>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compensation and benefits (including share-based compensation</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US$13,370,377, US$14,213,841 and US$10,147,362 for the years ended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31, 2021, 2022 and 2023, respectively)</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(87,160,214 )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(101,749,440 )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(100,750,644 )</w:t>
            </w: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Occupancy, depreciation and amortization</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(6,134,991 )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(9,013,467 )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(9,387,056 )</w:t>
            </w:r>
          </w:p>
        </w:tc>
        <w:tc>
          <w:tcPr>
            <w:tcW w:w="0" w:type="dxa"/>
            <w:vAlign w:val="bottom"/>
          </w:tcPr>
          <w:p>
            <w:pPr>
              <w:spacing w:after="0"/>
              <w:rPr>
                <w:sz w:val="1"/>
                <w:szCs w:val="1"/>
                <w:color w:val="auto"/>
              </w:rPr>
            </w:pPr>
          </w:p>
        </w:tc>
      </w:tr>
      <w:tr>
        <w:trPr>
          <w:trHeight w:val="229"/>
        </w:trPr>
        <w:tc>
          <w:tcPr>
            <w:tcW w:w="67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Communication and market data</w:t>
            </w:r>
            <w:r>
              <w:rPr>
                <w:rFonts w:ascii="Times New Roman" w:cs="Times New Roman" w:eastAsia="Times New Roman" w:hAnsi="Times New Roman"/>
                <w:sz w:val="21"/>
                <w:szCs w:val="21"/>
                <w:color w:val="auto"/>
                <w:vertAlign w:val="superscript"/>
              </w:rPr>
              <w:t>(a)</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(22,121,263 )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(27,138,244 )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(30,831,488 )</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Marketing and branding</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(59,264,634 )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(33,121,767 )</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(20,859,834 )</w:t>
            </w: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(22,705,839 )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(18,332,557 )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(21,791,263 )</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(228,530,519 )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(204,963,389 )</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(192,704,374 )</w:t>
            </w:r>
          </w:p>
        </w:tc>
        <w:tc>
          <w:tcPr>
            <w:tcW w:w="0" w:type="dxa"/>
            <w:vAlign w:val="bottom"/>
          </w:tcPr>
          <w:p>
            <w:pPr>
              <w:spacing w:after="0"/>
              <w:rPr>
                <w:sz w:val="1"/>
                <w:szCs w:val="1"/>
                <w:color w:val="auto"/>
              </w:rPr>
            </w:pPr>
          </w:p>
        </w:tc>
      </w:tr>
      <w:tr>
        <w:trPr>
          <w:trHeight w:val="221"/>
        </w:trPr>
        <w:tc>
          <w:tcPr>
            <w:tcW w:w="6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FF0FC"/>
          </w:tcPr>
          <w:p>
            <w:pPr>
              <w:ind w:left="200"/>
              <w:spacing w:after="0" w:line="238" w:lineRule="exact"/>
              <w:rPr>
                <w:sz w:val="20"/>
                <w:szCs w:val="20"/>
                <w:color w:val="auto"/>
              </w:rPr>
            </w:pPr>
            <w:r>
              <w:rPr>
                <w:rFonts w:ascii="Times New Roman" w:cs="Times New Roman" w:eastAsia="Times New Roman" w:hAnsi="Times New Roman"/>
                <w:sz w:val="16"/>
                <w:szCs w:val="16"/>
                <w:color w:val="auto"/>
              </w:rPr>
              <w:t>Fair value change from convertible bonds</w:t>
            </w:r>
            <w:r>
              <w:rPr>
                <w:rFonts w:ascii="Times New Roman" w:cs="Times New Roman" w:eastAsia="Times New Roman" w:hAnsi="Times New Roman"/>
                <w:sz w:val="21"/>
                <w:szCs w:val="21"/>
                <w:color w:val="auto"/>
                <w:vertAlign w:val="superscript"/>
              </w:rPr>
              <w:t>(a)</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4,194,848</w:t>
            </w:r>
          </w:p>
        </w:tc>
        <w:tc>
          <w:tcPr>
            <w:tcW w:w="220" w:type="dxa"/>
            <w:vAlign w:val="bottom"/>
            <w:shd w:val="clear" w:color="auto" w:fill="CFF0FC"/>
          </w:tcPr>
          <w:p>
            <w:pPr>
              <w:spacing w:after="0"/>
              <w:rPr>
                <w:sz w:val="20"/>
                <w:szCs w:val="20"/>
                <w:color w:val="auto"/>
              </w:rPr>
            </w:pPr>
          </w:p>
        </w:tc>
        <w:tc>
          <w:tcPr>
            <w:tcW w:w="17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Others, net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(2,719,196 )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13,148,173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19,054,472</w:t>
            </w: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2,031,785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45,993,737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(4,363,771 )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(4,288,665 )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(12,986,310 )</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14,690,701</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(2,256,880 )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33,007,427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Less:</w:t>
            </w: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(129,215 )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(98,285 )</w:t>
            </w: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(58,776 )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(542,187 )</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ordinary shareholders of UP Fintech</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14,690,701</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(2,186,441 )</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32,563,525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ordinary shareholders of</w:t>
            </w: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UP Fintech:</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(0.00 )</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(0.00 )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used in calculating net income (loss) per</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2,205,186,257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2,295,154,791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2,325,338,439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2,335,717,204</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2,295,154,791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2,427,268,831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(loss) on available-for-sale securities (net of tax effect of</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nil, US$88,563 and nil for the years ended December 31, 2021,2022 and</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2023, respectively)</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1,899,605</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(768,590 )</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(450,325 )</w:t>
            </w:r>
          </w:p>
        </w:tc>
        <w:tc>
          <w:tcPr>
            <w:tcW w:w="0" w:type="dxa"/>
            <w:vAlign w:val="bottom"/>
          </w:tcPr>
          <w:p>
            <w:pPr>
              <w:spacing w:after="0"/>
              <w:rPr>
                <w:sz w:val="1"/>
                <w:szCs w:val="1"/>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cumulative foreign currency translation adjustment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1,839,022</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(8,130,208 )</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(545,498 )</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18,429,328</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(11,155,678 )</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32,011,604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 attributable to non-controlling interests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(130,783 )</w:t>
            </w:r>
          </w:p>
        </w:tc>
        <w:tc>
          <w:tcPr>
            <w:tcW w:w="20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(92,526 )</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(58,776 )</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(542,187 )</w:t>
            </w:r>
          </w:p>
        </w:tc>
        <w:tc>
          <w:tcPr>
            <w:tcW w:w="0" w:type="dxa"/>
            <w:vAlign w:val="bottom"/>
          </w:tcPr>
          <w:p>
            <w:pPr>
              <w:spacing w:after="0"/>
              <w:rPr>
                <w:sz w:val="1"/>
                <w:szCs w:val="1"/>
                <w:color w:val="auto"/>
              </w:rPr>
            </w:pPr>
          </w:p>
        </w:tc>
      </w:tr>
      <w:tr>
        <w:trPr>
          <w:trHeight w:val="23"/>
        </w:trPr>
        <w:tc>
          <w:tcPr>
            <w:tcW w:w="6760" w:type="dxa"/>
            <w:vAlign w:val="bottom"/>
            <w:shd w:val="clear" w:color="auto" w:fill="CFF0F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ordinary shareholders</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18,429,328</w:t>
            </w:r>
          </w:p>
        </w:tc>
        <w:tc>
          <w:tcPr>
            <w:tcW w:w="220" w:type="dxa"/>
            <w:vAlign w:val="bottom"/>
          </w:tcPr>
          <w:p>
            <w:pPr>
              <w:spacing w:after="0"/>
              <w:rPr>
                <w:sz w:val="17"/>
                <w:szCs w:val="17"/>
                <w:color w:val="auto"/>
              </w:rPr>
            </w:pP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(11,083,671 )</w:t>
            </w:r>
          </w:p>
        </w:tc>
        <w:tc>
          <w:tcPr>
            <w:tcW w:w="2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31,561,943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of UP Fintech</w:t>
            </w:r>
          </w:p>
        </w:tc>
        <w:tc>
          <w:tcPr>
            <w:tcW w:w="1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-5836920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-5836920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-5537200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-5537200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-4097020</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-4097020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-3496945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-3496945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-3188335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-3188335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-2588260</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-2588260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-599440</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-582295</wp:posOffset>
            </wp:positionV>
            <wp:extent cx="774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-599440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-582295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-281940</wp:posOffset>
            </wp:positionV>
            <wp:extent cx="774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-281940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revenues, costs and expenses resulting from transactions with related parties for the years ended December 31, 2021, 2022 and</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(Note 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388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40" w:type="dxa"/>
            <w:vAlign w:val="bottom"/>
            <w:tcBorders>
              <w:bottom w:val="single" w:sz="8" w:color="auto"/>
            </w:tcBorders>
          </w:tcPr>
          <w:p>
            <w:pPr>
              <w:spacing w:after="0"/>
              <w:rPr>
                <w:sz w:val="21"/>
                <w:szCs w:val="21"/>
                <w:color w:val="auto"/>
              </w:rPr>
            </w:pPr>
          </w:p>
        </w:tc>
      </w:tr>
      <w:tr>
        <w:trPr>
          <w:trHeight w:val="241"/>
        </w:trPr>
        <w:tc>
          <w:tcPr>
            <w:tcW w:w="62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6220" w:type="dxa"/>
            <w:vAlign w:val="bottom"/>
          </w:tcPr>
          <w:p>
            <w:pPr>
              <w:spacing w:after="0"/>
              <w:rPr>
                <w:sz w:val="20"/>
                <w:szCs w:val="20"/>
                <w:color w:val="auto"/>
              </w:rPr>
            </w:pPr>
          </w:p>
        </w:tc>
        <w:tc>
          <w:tcPr>
            <w:tcW w:w="14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20"/>
                <w:szCs w:val="20"/>
                <w:color w:val="auto"/>
              </w:rPr>
            </w:pPr>
          </w:p>
        </w:tc>
        <w:tc>
          <w:tcPr>
            <w:tcW w:w="16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30,446,244</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4,001,833</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122,113</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related income</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service fees</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9,268,819</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1,329,490</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31,776,764</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4,795,119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1,379,238</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15,556,298</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1,805,126</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(13,938,263 )</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(2,056,556 )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Execution and clearing</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(17,510,426 )</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(1,751,505 )</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(94,333 )</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(135,117 )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(150,360 )</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change from convertible bonds</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2,860,123</w:t>
            </w:r>
          </w:p>
        </w:tc>
        <w:tc>
          <w:tcPr>
            <w:tcW w:w="160" w:type="dxa"/>
            <w:vAlign w:val="bottom"/>
            <w:shd w:val="clear" w:color="auto" w:fill="CFF0FC"/>
          </w:tcPr>
          <w:p>
            <w:pPr>
              <w:spacing w:after="0"/>
              <w:rPr>
                <w:sz w:val="21"/>
                <w:szCs w:val="21"/>
                <w:color w:val="auto"/>
              </w:rPr>
            </w:pPr>
          </w:p>
        </w:tc>
        <w:tc>
          <w:tcPr>
            <w:tcW w:w="22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p>
      <w:pPr>
        <w:spacing w:after="0" w:line="98"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Class B ordinary shares converted into Class A ordinary shares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Issuance of ordinary shares upon follow-on public offering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178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40" w:type="dxa"/>
            <w:vAlign w:val="bottom"/>
          </w:tcPr>
          <w:p>
            <w:pPr>
              <w:spacing w:after="0"/>
              <w:rPr>
                <w:sz w:val="12"/>
                <w:szCs w:val="1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20" w:type="dxa"/>
            <w:vAlign w:val="bottom"/>
            <w:vMerge w:val="restart"/>
          </w:tcPr>
          <w:p>
            <w:pPr>
              <w:spacing w:after="0"/>
              <w:rPr>
                <w:sz w:val="12"/>
                <w:szCs w:val="12"/>
                <w:color w:val="auto"/>
              </w:rPr>
            </w:pPr>
          </w:p>
        </w:tc>
        <w:tc>
          <w:tcPr>
            <w:tcW w:w="18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 stock purchases</w:t>
            </w:r>
          </w:p>
        </w:tc>
        <w:tc>
          <w:tcPr>
            <w:tcW w:w="2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0" w:type="dxa"/>
            <w:vAlign w:val="bottom"/>
          </w:tcPr>
          <w:p>
            <w:pPr>
              <w:spacing w:after="0"/>
              <w:rPr>
                <w:sz w:val="1"/>
                <w:szCs w:val="1"/>
                <w:color w:val="auto"/>
              </w:rPr>
            </w:pPr>
          </w:p>
        </w:tc>
      </w:tr>
      <w:tr>
        <w:trPr>
          <w:trHeight w:val="131"/>
        </w:trPr>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220" w:type="dxa"/>
            <w:vAlign w:val="bottom"/>
          </w:tcPr>
          <w:p>
            <w:pPr>
              <w:spacing w:after="0"/>
              <w:rPr>
                <w:sz w:val="11"/>
                <w:szCs w:val="11"/>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9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top w:val="single" w:sz="8" w:color="auto"/>
            </w:tcBorders>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149"/>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1,794,357,434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17,944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337,611,72</w:t>
            </w: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3,376</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291,827,37</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38,004,705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549,605</w:t>
            </w:r>
          </w:p>
        </w:tc>
        <w:tc>
          <w:tcPr>
            <w:tcW w:w="0" w:type="dxa"/>
            <w:vAlign w:val="bottom"/>
          </w:tcPr>
          <w:p>
            <w:pPr>
              <w:spacing w:after="0"/>
              <w:rPr>
                <w:sz w:val="1"/>
                <w:szCs w:val="1"/>
                <w:color w:val="auto"/>
              </w:rPr>
            </w:pPr>
          </w:p>
        </w:tc>
      </w:tr>
      <w:tr>
        <w:trPr>
          <w:trHeight w:val="280"/>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280" w:type="dxa"/>
            <w:vAlign w:val="bottom"/>
            <w:gridSpan w:val="3"/>
          </w:tcPr>
          <w:p>
            <w:pPr>
              <w:jc w:val="right"/>
              <w:ind w:right="160"/>
              <w:spacing w:after="0" w:line="280" w:lineRule="exact"/>
              <w:rPr>
                <w:sz w:val="20"/>
                <w:szCs w:val="20"/>
                <w:color w:val="auto"/>
              </w:rPr>
            </w:pPr>
            <w:r>
              <w:rPr>
                <w:rFonts w:ascii="Times New Roman" w:cs="Times New Roman" w:eastAsia="Times New Roman" w:hAnsi="Times New Roman"/>
                <w:sz w:val="14"/>
                <w:szCs w:val="14"/>
                <w:color w:val="auto"/>
              </w:rPr>
              <w:t xml:space="preserve">(115,500,0 </w:t>
            </w:r>
            <w:r>
              <w:rPr>
                <w:rFonts w:ascii="Times New Roman" w:cs="Times New Roman" w:eastAsia="Times New Roman" w:hAnsi="Times New Roman"/>
                <w:sz w:val="28"/>
                <w:szCs w:val="28"/>
                <w:color w:val="auto"/>
                <w:vertAlign w:val="subscript"/>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(1,155 )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175,420,47</w:t>
            </w:r>
          </w:p>
        </w:tc>
        <w:tc>
          <w:tcPr>
            <w:tcW w:w="0" w:type="dxa"/>
            <w:vAlign w:val="bottom"/>
          </w:tcPr>
          <w:p>
            <w:pPr>
              <w:spacing w:after="0"/>
              <w:rPr>
                <w:sz w:val="1"/>
                <w:szCs w:val="1"/>
                <w:color w:val="auto"/>
              </w:rPr>
            </w:pPr>
          </w:p>
        </w:tc>
      </w:tr>
      <w:tr>
        <w:trPr>
          <w:trHeight w:val="81"/>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112,125,000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240" w:type="dxa"/>
            <w:vAlign w:val="bottom"/>
          </w:tcPr>
          <w:p>
            <w:pPr>
              <w:spacing w:after="0"/>
              <w:rPr>
                <w:sz w:val="7"/>
                <w:szCs w:val="7"/>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7"/>
                <w:szCs w:val="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-822325</wp:posOffset>
            </wp:positionV>
            <wp:extent cx="7132320" cy="2057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-410845</wp:posOffset>
            </wp:positionV>
            <wp:extent cx="7132320" cy="2057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3900" w:space="560"/>
            <w:col w:w="67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13,370,377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component of convertible bonds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3,167,457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2,059,987,139</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20,599</w:t>
            </w:r>
          </w:p>
        </w:tc>
        <w:tc>
          <w:tcPr>
            <w:tcW w:w="10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222,111,72</w:t>
            </w: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4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484,335,29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60" w:type="dxa"/>
            <w:vAlign w:val="bottom"/>
            <w:tcBorders>
              <w:bottom w:val="single" w:sz="8" w:color="CFF0FC"/>
            </w:tcBorders>
            <w:vMerge w:val="continue"/>
            <w:shd w:val="clear" w:color="auto" w:fill="CFF0FC"/>
          </w:tcPr>
          <w:p>
            <w:pPr>
              <w:spacing w:after="0"/>
              <w:rPr>
                <w:sz w:val="17"/>
                <w:szCs w:val="17"/>
                <w:color w:val="auto"/>
              </w:rPr>
            </w:pP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gridSpan w:val="2"/>
            <w:vMerge w:val="continue"/>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740" w:type="dxa"/>
            <w:vAlign w:val="bottom"/>
            <w:tcBorders>
              <w:bottom w:val="single" w:sz="8" w:color="CFF0FC"/>
            </w:tcBorders>
            <w:gridSpan w:val="2"/>
            <w:vMerge w:val="continue"/>
            <w:shd w:val="clear" w:color="auto" w:fill="CFF0FC"/>
          </w:tcPr>
          <w:p>
            <w:pPr>
              <w:spacing w:after="0"/>
              <w:rPr>
                <w:sz w:val="17"/>
                <w:szCs w:val="17"/>
                <w:color w:val="auto"/>
              </w:rPr>
            </w:pPr>
          </w:p>
        </w:tc>
        <w:tc>
          <w:tcPr>
            <w:tcW w:w="1020" w:type="dxa"/>
            <w:vAlign w:val="bottom"/>
            <w:tcBorders>
              <w:bottom w:val="single" w:sz="8" w:color="CFF0FC"/>
            </w:tcBorders>
            <w:gridSpan w:val="2"/>
            <w:vMerge w:val="continue"/>
            <w:shd w:val="clear" w:color="auto" w:fill="CFF0FC"/>
          </w:tcPr>
          <w:p>
            <w:pPr>
              <w:spacing w:after="0"/>
              <w:rPr>
                <w:sz w:val="17"/>
                <w:szCs w:val="17"/>
                <w:color w:val="auto"/>
              </w:rPr>
            </w:pPr>
          </w:p>
        </w:tc>
        <w:tc>
          <w:tcPr>
            <w:tcW w:w="1240" w:type="dxa"/>
            <w:vAlign w:val="bottom"/>
            <w:tcBorders>
              <w:bottom w:val="single" w:sz="8" w:color="CFF0FC"/>
            </w:tcBorders>
            <w:gridSpan w:val="3"/>
            <w:vMerge w:val="continue"/>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Adoption of ASU 2020-06</w:t>
      </w:r>
    </w:p>
    <w:p>
      <w:pPr>
        <w:spacing w:after="0" w:line="18" w:lineRule="exact"/>
        <w:rPr>
          <w:sz w:val="20"/>
          <w:szCs w:val="20"/>
          <w:color w:val="auto"/>
        </w:rPr>
      </w:pPr>
    </w:p>
    <w:p>
      <w:pPr>
        <w:ind w:left="20" w:right="100"/>
        <w:spacing w:after="0" w:line="243" w:lineRule="auto"/>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Class B ordinary shares converted into Class A ordinary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(3,167,457 )</w:t>
            </w:r>
          </w:p>
        </w:tc>
      </w:tr>
      <w:tr>
        <w:trPr>
          <w:trHeight w:val="234"/>
        </w:trPr>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36,915,928</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369</w:t>
            </w: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366,168</w:t>
            </w:r>
          </w:p>
        </w:tc>
      </w:tr>
      <w:tr>
        <w:trPr>
          <w:trHeight w:val="280"/>
        </w:trPr>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9"/>
              </w:rPr>
              <w:t>124,500,000</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1,245</w:t>
            </w:r>
          </w:p>
        </w:tc>
        <w:tc>
          <w:tcPr>
            <w:tcW w:w="1060" w:type="dxa"/>
            <w:vAlign w:val="bottom"/>
          </w:tcPr>
          <w:p>
            <w:pPr>
              <w:jc w:val="right"/>
              <w:ind w:right="68"/>
              <w:spacing w:after="0" w:line="280" w:lineRule="exact"/>
              <w:rPr>
                <w:sz w:val="20"/>
                <w:szCs w:val="20"/>
                <w:color w:val="auto"/>
              </w:rPr>
            </w:pPr>
            <w:r>
              <w:rPr>
                <w:rFonts w:ascii="Times New Roman" w:cs="Times New Roman" w:eastAsia="Times New Roman" w:hAnsi="Times New Roman"/>
                <w:sz w:val="14"/>
                <w:szCs w:val="14"/>
                <w:color w:val="auto"/>
              </w:rPr>
              <w:t xml:space="preserve">(124,500,0 </w:t>
            </w:r>
            <w:r>
              <w:rPr>
                <w:rFonts w:ascii="Times New Roman" w:cs="Times New Roman" w:eastAsia="Times New Roman" w:hAnsi="Times New Roman"/>
                <w:sz w:val="28"/>
                <w:szCs w:val="28"/>
                <w:color w:val="auto"/>
                <w:vertAlign w:val="subscript"/>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(1,245 )</w:t>
            </w:r>
          </w:p>
        </w:tc>
        <w:tc>
          <w:tcPr>
            <w:tcW w:w="1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21"/>
        </w:trPr>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rPr>
              <w:t>00</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-410845</wp:posOffset>
            </wp:positionV>
            <wp:extent cx="7132320" cy="2057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4000" w:space="720"/>
            <w:col w:w="652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14,212,067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(58,776 )</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2,221,403,067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22,213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97,611,722</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495,705,68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4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Class A ordinary shares upon settlement of share-based</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31,489,778</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80" w:type="dxa"/>
            <w:vAlign w:val="bottom"/>
            <w:vMerge w:val="continue"/>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460" w:type="dxa"/>
            <w:vAlign w:val="bottom"/>
            <w:vMerge w:val="continue"/>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10,144,515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(542,187 )</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2,252,892,845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22,528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97,611,722</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505,448,08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-1353820</wp:posOffset>
            </wp:positionV>
            <wp:extent cx="774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-1353820</wp:posOffset>
            </wp:positionV>
            <wp:extent cx="768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-1353820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-1353820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-1353820</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-1353820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-239395</wp:posOffset>
            </wp:positionV>
            <wp:extent cx="774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-239395</wp:posOffset>
            </wp:positionV>
            <wp:extent cx="768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-239395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-239395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-239395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-239395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2,663,551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2,927,192</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(59,579,495 )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235,687,128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ordinary shares upon follow-on public offering</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175,421,594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13,370,377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899,337</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(899,337 )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1,839,022</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1,839,022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1,899,605</w:t>
            </w:r>
          </w:p>
        </w:tc>
        <w:tc>
          <w:tcPr>
            <w:tcW w:w="2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1,899,605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component of convertible bonds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3,167,457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14,690,701</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14,690,701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3,562,888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6,665,819</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(45,788,131 )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446,625,868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Adoption of ASU 2020-06</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157,801</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(3,009,656 )</w:t>
            </w: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366,537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(10,541 )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14,213,841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2,608,739</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(2,608,739 )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(8,128,640 )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(1,568 )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(8,130,208 )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(768,590 )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(768,590 )</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(3,094 )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(61,870 )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(2,127,665 )</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(129,215 )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(2,256,880 )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6,171,627</w:t>
            </w: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(2,231,411 )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(50,366,734 )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(142,644 )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446,986,892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140,383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10,147,362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2,339,412</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(2,339,412 )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(551,257 )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2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(545,498 )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(450,325 )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(450,325 )</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(28,536 )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(570,723 )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33,105,712</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(98,285 )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33,007,427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8,511,039</w:t>
            </w: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(3,232,993 )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(19,600,434 )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(260,859 )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488,715,518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-2211070</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-2193925</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-2211070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-2193925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-2211070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-2193925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-2211070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-2193925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-1071245</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-1071245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-1071245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-1071245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-145415</wp:posOffset>
            </wp:positionV>
            <wp:extent cx="774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-145415</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-145415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-145415</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line="299"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STATEMENTS OF CASH FLOWS (All amounts in US$, except for share, per share data, or otherwise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0" w:type="dxa"/>
            <w:vAlign w:val="bottom"/>
          </w:tcPr>
          <w:p>
            <w:pPr>
              <w:spacing w:after="0"/>
              <w:rPr>
                <w:sz w:val="15"/>
                <w:szCs w:val="15"/>
                <w:color w:val="auto"/>
              </w:rPr>
            </w:pPr>
          </w:p>
        </w:tc>
        <w:tc>
          <w:tcPr>
            <w:tcW w:w="3640" w:type="dxa"/>
            <w:vAlign w:val="bottom"/>
            <w:gridSpan w:val="6"/>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r>
      <w:tr>
        <w:trPr>
          <w:trHeight w:val="169"/>
        </w:trPr>
        <w:tc>
          <w:tcPr>
            <w:tcW w:w="76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14,690,701</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(2,256,880 )</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33,007,427</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13,370,377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14,213,841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10,147,362</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1,338,968</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2,749,144</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2,838,552</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Unrealized fair value change of financial instruments held, at fair value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(1,081,873 )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1,474,009</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(16,142,109 )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disposal of subsidiaries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115,681</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Loss (gain) from equity investments, including impairments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571,440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474,347</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(6,889 )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426,953</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464,114</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363,417</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24,844</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Foreign currency exchange loss (gain)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3,265,271</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(2,419,693 )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3,122,874</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tax (benefit) expense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(662,310 )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(1,264,080 )</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3,206,495</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Interest expense from convertible bonds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1,294,203</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2,486,151</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2,550,208</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Fair value change from convertible bonds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(4,194,848 )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Financial instruments held, at fair value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(2,258,578 )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(159,651,795 )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(249,167,561 )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(292,868,761 )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19,787,135</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(108,963,426 )</w:t>
            </w:r>
          </w:p>
        </w:tc>
      </w:tr>
      <w:tr>
        <w:trPr>
          <w:trHeight w:val="175"/>
        </w:trPr>
        <w:tc>
          <w:tcPr>
            <w:tcW w:w="7600" w:type="dxa"/>
            <w:vAlign w:val="bottom"/>
          </w:tcPr>
          <w:p>
            <w:pPr>
              <w:ind w:left="380"/>
              <w:spacing w:after="0" w:line="176" w:lineRule="exact"/>
              <w:rPr>
                <w:sz w:val="20"/>
                <w:szCs w:val="20"/>
                <w:color w:val="auto"/>
              </w:rPr>
            </w:pPr>
            <w:r>
              <w:rPr>
                <w:rFonts w:ascii="Times New Roman" w:cs="Times New Roman" w:eastAsia="Times New Roman" w:hAnsi="Times New Roman"/>
                <w:sz w:val="13"/>
                <w:szCs w:val="13"/>
                <w:color w:val="auto"/>
              </w:rPr>
              <w:t>Receivables from brokers, dealers and clearing organizations</w:t>
            </w:r>
            <w:r>
              <w:rPr>
                <w:rFonts w:ascii="Times New Roman" w:cs="Times New Roman" w:eastAsia="Times New Roman" w:hAnsi="Times New Roman"/>
                <w:sz w:val="18"/>
                <w:szCs w:val="18"/>
                <w:color w:val="auto"/>
                <w:vertAlign w:val="superscript"/>
              </w:rPr>
              <w:t>(a)</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(82,000,320 )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(77,163,404 )</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415,068,652</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Amounts due from/to related parties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3,084,210</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(3,399,187 )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6,468,157</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(4,350,422 )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3,190,957</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(4,719,181 )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667,243</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(7,346,572 )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4,892,207</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(1,072,518 )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239,238</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(550,983 )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Payables to customers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810,443,951</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486,912,633</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(83,098,889 )</w:t>
            </w:r>
          </w:p>
        </w:tc>
      </w:tr>
      <w:tr>
        <w:trPr>
          <w:trHeight w:val="176"/>
        </w:trPr>
        <w:tc>
          <w:tcPr>
            <w:tcW w:w="7600" w:type="dxa"/>
            <w:vAlign w:val="bottom"/>
          </w:tcPr>
          <w:p>
            <w:pPr>
              <w:ind w:left="380"/>
              <w:spacing w:after="0" w:line="176" w:lineRule="exact"/>
              <w:rPr>
                <w:sz w:val="20"/>
                <w:szCs w:val="20"/>
                <w:color w:val="auto"/>
              </w:rPr>
            </w:pPr>
            <w:r>
              <w:rPr>
                <w:rFonts w:ascii="Times New Roman" w:cs="Times New Roman" w:eastAsia="Times New Roman" w:hAnsi="Times New Roman"/>
                <w:sz w:val="13"/>
                <w:szCs w:val="13"/>
                <w:color w:val="auto"/>
              </w:rPr>
              <w:t>Payables to brokers, dealers and clearing organizations</w:t>
            </w:r>
            <w:r>
              <w:rPr>
                <w:rFonts w:ascii="Times New Roman" w:cs="Times New Roman" w:eastAsia="Times New Roman" w:hAnsi="Times New Roman"/>
                <w:sz w:val="18"/>
                <w:szCs w:val="18"/>
                <w:color w:val="auto"/>
                <w:vertAlign w:val="superscript"/>
              </w:rPr>
              <w:t>(a)</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(52,871,884 )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(32,217,431 )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(23,848,815 )</w:t>
            </w:r>
          </w:p>
        </w:tc>
      </w:tr>
      <w:tr>
        <w:trPr>
          <w:trHeight w:val="175"/>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6,590,630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4,017,887</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4,604,199</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(1,504,339 )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8,177,202</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(4,969,139 )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Deferred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185,337</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(407,017 )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(1,368,912 )</w:t>
            </w:r>
          </w:p>
        </w:tc>
      </w:tr>
      <w:tr>
        <w:trPr>
          <w:trHeight w:val="20"/>
        </w:trPr>
        <w:tc>
          <w:tcPr>
            <w:tcW w:w="76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413,203,956</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258,060,599</w:t>
            </w:r>
          </w:p>
        </w:tc>
        <w:tc>
          <w:tcPr>
            <w:tcW w:w="1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(6,566,354 )</w:t>
            </w: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Purchase of property, equipment and intangible assets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(4,967,842 )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(4,888,631 )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(2,764,030 )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Disposal of property, equipment and intangible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Payment for long-term investments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(2,450,736 )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(243,289 )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(500,000 )</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Cash paid for acquisition, net of cash acquired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2,584,303</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Cash-segregated for regulatory purpose acquired from acquisition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2,166,432</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Repayment of loans from related parties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110,487</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Cash received from disposal of a subsidiary</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79,634</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Purchase of term deposits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(17,460,305 )</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(4,225,412 )</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Maturity of term deposits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33,088,423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2,072,574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74,679</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Advances to employees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(126,779 )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(641,069 )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(342,686 )</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Loans to related parties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(2,155,038 )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Dividend received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46,938</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88,414</w:t>
            </w:r>
          </w:p>
        </w:tc>
        <w:tc>
          <w:tcPr>
            <w:tcW w:w="1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10,918,825</w:t>
            </w: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(3,612,001 )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(7,750,560 )</w:t>
            </w: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Proceeds received from issuance of convertible bonds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154,909,777</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Proceeds received from redeemable non-controlling interests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4,356,074</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1,680,036</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proceeds received from follow-on public offering (net of offering cost of US$1,215,162)</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175,421,594</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Capital contribution from non-controlling interests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7,850</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Proceeds received from issuance of Class A Ordinary Shares upon settlement of share-based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549,984</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366,537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140,383</w:t>
            </w:r>
          </w:p>
        </w:tc>
        <w:tc>
          <w:tcPr>
            <w:tcW w:w="100" w:type="dxa"/>
            <w:vAlign w:val="bottom"/>
          </w:tcPr>
          <w:p>
            <w:pPr>
              <w:spacing w:after="0"/>
              <w:rPr>
                <w:sz w:val="15"/>
                <w:szCs w:val="15"/>
                <w:color w:val="auto"/>
              </w:rPr>
            </w:pPr>
          </w:p>
        </w:tc>
      </w:tr>
      <w:tr>
        <w:trPr>
          <w:trHeight w:val="176"/>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330,881,355</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4,730,461</w:t>
            </w:r>
          </w:p>
        </w:tc>
        <w:tc>
          <w:tcPr>
            <w:tcW w:w="1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1,820,419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cash, cash equivalents and restricted cash</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755,004,136</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259,179,059</w:t>
            </w:r>
          </w:p>
        </w:tc>
        <w:tc>
          <w:tcPr>
            <w:tcW w:w="1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(12,496,495 )</w:t>
            </w: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(1,718,832 )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(4,335,485 )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(3,478,233 )</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year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947,599,651</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1,700,884,955</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1,955,728,529</w:t>
            </w:r>
          </w:p>
        </w:tc>
        <w:tc>
          <w:tcPr>
            <w:tcW w:w="10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1,700,884,955</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1,955,728,529</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1,939,753,801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269,057,708</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277,660,847</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322,599,616</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Cash-segregated for regulatory purpose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1,431,827,247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1,678,067,682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1,617,154,185</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5,586,372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2,126,572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13,324,309</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consideration paid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1,079,830</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-3642360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-3642360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-2065020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-2065020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-1156970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-1156970</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-693420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-676275</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-693420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-676275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right="2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changes in operating assets and liabilities resulting from transactions with related parties for the years ended December 31, 2021, 2022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66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20" w:type="dxa"/>
            <w:vAlign w:val="bottom"/>
            <w:tcBorders>
              <w:bottom w:val="single" w:sz="8" w:color="auto"/>
            </w:tcBorders>
          </w:tcPr>
          <w:p>
            <w:pPr>
              <w:spacing w:after="0"/>
              <w:rPr>
                <w:sz w:val="21"/>
                <w:szCs w:val="21"/>
                <w:color w:val="auto"/>
              </w:rPr>
            </w:pPr>
          </w:p>
        </w:tc>
      </w:tr>
      <w:tr>
        <w:trPr>
          <w:trHeight w:val="241"/>
        </w:trPr>
        <w:tc>
          <w:tcPr>
            <w:tcW w:w="656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560" w:type="dxa"/>
            <w:vAlign w:val="bottom"/>
          </w:tcPr>
          <w:p>
            <w:pPr>
              <w:spacing w:after="0"/>
              <w:rPr>
                <w:sz w:val="20"/>
                <w:szCs w:val="20"/>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11"/>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activities: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 from convertible bonds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350,519</w:t>
            </w:r>
          </w:p>
        </w:tc>
        <w:tc>
          <w:tcPr>
            <w:tcW w:w="120" w:type="dxa"/>
            <w:vAlign w:val="bottom"/>
            <w:shd w:val="clear" w:color="auto" w:fill="CFF0FC"/>
          </w:tcPr>
          <w:p>
            <w:pPr>
              <w:spacing w:after="0"/>
              <w:rPr>
                <w:sz w:val="21"/>
                <w:szCs w:val="21"/>
                <w:color w:val="auto"/>
              </w:rPr>
            </w:pPr>
          </w:p>
        </w:tc>
        <w:tc>
          <w:tcPr>
            <w:tcW w:w="204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change from convertible bonds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(2,860,123 )</w:t>
            </w:r>
          </w:p>
        </w:tc>
        <w:tc>
          <w:tcPr>
            <w:tcW w:w="120" w:type="dxa"/>
            <w:vAlign w:val="bottom"/>
          </w:tcPr>
          <w:p>
            <w:pPr>
              <w:spacing w:after="0"/>
              <w:rPr>
                <w:sz w:val="20"/>
                <w:szCs w:val="20"/>
                <w:color w:val="auto"/>
              </w:rPr>
            </w:pPr>
          </w:p>
        </w:tc>
        <w:tc>
          <w:tcPr>
            <w:tcW w:w="20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9"/>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from brokers, dealers and clearing organizations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(40,320,092 )</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54,299,601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Payables to brokers, dealers and clearing organizations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(48,235,921 )</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5,488,702</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144"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UP Fintech Holding Limited (the “Company”) was incorporated under the laws of Cayman Islands on January 26, 2018. The Company, its subsidiaries, its consolidated variable interest entities (“VIEs”) and VIEs’ subsidiaries (collectively, the “Group”) are primarily engaged in providing online brokerage services.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details of the Group’s major principal operating subsidiaries, VIEs and VIEs’ subsidiaries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20" w:type="dxa"/>
            <w:vAlign w:val="bottom"/>
          </w:tcPr>
          <w:p>
            <w:pPr>
              <w:spacing w:after="0"/>
              <w:rPr>
                <w:sz w:val="13"/>
                <w:szCs w:val="13"/>
                <w:color w:val="auto"/>
              </w:rPr>
            </w:pPr>
          </w:p>
        </w:tc>
        <w:tc>
          <w:tcPr>
            <w:tcW w:w="16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5860" w:type="dxa"/>
            <w:vAlign w:val="bottom"/>
          </w:tcPr>
          <w:p>
            <w:pPr>
              <w:spacing w:after="0"/>
              <w:rPr>
                <w:sz w:val="5"/>
                <w:szCs w:val="5"/>
                <w:color w:val="auto"/>
              </w:rPr>
            </w:pPr>
          </w:p>
        </w:tc>
        <w:tc>
          <w:tcPr>
            <w:tcW w:w="1800" w:type="dxa"/>
            <w:vAlign w:val="bottom"/>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5"/>
                <w:szCs w:val="5"/>
                <w:color w:val="auto"/>
              </w:rPr>
            </w:pPr>
          </w:p>
        </w:tc>
        <w:tc>
          <w:tcPr>
            <w:tcW w:w="1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5860" w:type="dxa"/>
            <w:vAlign w:val="bottom"/>
          </w:tcPr>
          <w:p>
            <w:pPr>
              <w:spacing w:after="0"/>
              <w:rPr>
                <w:sz w:val="9"/>
                <w:szCs w:val="9"/>
                <w:color w:val="auto"/>
              </w:rPr>
            </w:pPr>
          </w:p>
        </w:tc>
        <w:tc>
          <w:tcPr>
            <w:tcW w:w="18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12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(NZ) Limited (“TBNZ”)</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02, 2016</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February 08, 2018</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Singapore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9"/>
        </w:trPr>
        <w:tc>
          <w:tcPr>
            <w:tcW w:w="5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120" w:type="dxa"/>
            <w:vAlign w:val="bottom"/>
            <w:shd w:val="clear" w:color="auto" w:fill="CFF0FC"/>
          </w:tcPr>
          <w:p>
            <w:pPr>
              <w:spacing w:after="0"/>
              <w:rPr>
                <w:sz w:val="12"/>
                <w:szCs w:val="12"/>
                <w:color w:val="auto"/>
              </w:rPr>
            </w:pPr>
          </w:p>
        </w:tc>
        <w:tc>
          <w:tcPr>
            <w:tcW w:w="17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United States of</w:t>
            </w:r>
          </w:p>
        </w:tc>
        <w:tc>
          <w:tcPr>
            <w:tcW w:w="1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60" w:type="dxa"/>
            <w:vAlign w:val="bottom"/>
            <w:vMerge w:val="continue"/>
            <w:shd w:val="clear" w:color="auto" w:fill="CFF0FC"/>
          </w:tcPr>
          <w:p>
            <w:pPr>
              <w:spacing w:after="0"/>
              <w:rPr>
                <w:sz w:val="9"/>
                <w:szCs w:val="9"/>
                <w:color w:val="auto"/>
              </w:rPr>
            </w:pPr>
          </w:p>
        </w:tc>
        <w:tc>
          <w:tcPr>
            <w:tcW w:w="1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7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shd w:val="clear" w:color="auto" w:fill="CFF0FC"/>
          </w:tcPr>
          <w:p>
            <w:pPr>
              <w:spacing w:after="0"/>
              <w:rPr>
                <w:sz w:val="6"/>
                <w:szCs w:val="6"/>
                <w:color w:val="auto"/>
              </w:rPr>
            </w:pPr>
          </w:p>
        </w:tc>
        <w:tc>
          <w:tcPr>
            <w:tcW w:w="18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7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Bohu Xiangshang Technology Co., LTD (“Beijing BHXS”, “Beijing</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WFOE I”)</w:t>
            </w:r>
          </w:p>
        </w:tc>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Yixin Technology Co., Ltd (“Beijing Yixin”, “Beijing</w:t>
            </w: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120" w:type="dxa"/>
            <w:vAlign w:val="bottom"/>
            <w:shd w:val="clear" w:color="auto" w:fill="CFF0FC"/>
          </w:tcPr>
          <w:p>
            <w:pPr>
              <w:spacing w:after="0"/>
              <w:rPr>
                <w:sz w:val="12"/>
                <w:szCs w:val="12"/>
                <w:color w:val="auto"/>
              </w:rPr>
            </w:pPr>
          </w:p>
        </w:tc>
        <w:tc>
          <w:tcPr>
            <w:tcW w:w="1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WFOE II”)</w:t>
            </w:r>
          </w:p>
        </w:tc>
        <w:tc>
          <w:tcPr>
            <w:tcW w:w="1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40" w:type="dxa"/>
            <w:vAlign w:val="bottom"/>
            <w:vMerge w:val="continue"/>
            <w:shd w:val="clear" w:color="auto" w:fill="CFF0FC"/>
          </w:tcPr>
          <w:p>
            <w:pPr>
              <w:spacing w:after="0"/>
              <w:rPr>
                <w:sz w:val="9"/>
                <w:szCs w:val="9"/>
                <w:color w:val="auto"/>
              </w:rPr>
            </w:pPr>
          </w:p>
        </w:tc>
        <w:tc>
          <w:tcPr>
            <w:tcW w:w="17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vMerge w:val="continue"/>
            <w:shd w:val="clear" w:color="auto" w:fill="CFF0FC"/>
          </w:tcPr>
          <w:p>
            <w:pPr>
              <w:spacing w:after="0"/>
              <w:rPr>
                <w:sz w:val="6"/>
                <w:szCs w:val="6"/>
                <w:color w:val="auto"/>
              </w:rPr>
            </w:pPr>
          </w:p>
        </w:tc>
        <w:tc>
          <w:tcPr>
            <w:tcW w:w="18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7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Wealthn LLC (“Wealthn”)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01, 2018</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Kastle Limited (“Kastle”)</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15, 2018</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12, 2019</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Tradeup Inc. (“Tradeup”)</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10, 2019</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USA</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09, 2020</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7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27, 2021</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Australia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Tiger Brokers (AU) PTY Limited (“TBAU”)</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September 13, 2021</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Australia</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26, 2021</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1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“Ningxia VIE”)</w:t>
            </w:r>
          </w:p>
        </w:tc>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120" w:type="dxa"/>
            <w:vAlign w:val="bottom"/>
            <w:shd w:val="clear" w:color="auto" w:fill="CFF0FC"/>
          </w:tcPr>
          <w:p>
            <w:pPr>
              <w:spacing w:after="0"/>
              <w:rPr>
                <w:sz w:val="12"/>
                <w:szCs w:val="12"/>
                <w:color w:val="auto"/>
              </w:rPr>
            </w:pPr>
          </w:p>
        </w:tc>
        <w:tc>
          <w:tcPr>
            <w:tcW w:w="1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2"/>
                <w:szCs w:val="12"/>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8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“Beijing VIE”)</w:t>
            </w:r>
          </w:p>
        </w:tc>
        <w:tc>
          <w:tcPr>
            <w:tcW w:w="1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860" w:type="dxa"/>
            <w:vAlign w:val="bottom"/>
            <w:vMerge w:val="continue"/>
            <w:shd w:val="clear" w:color="auto" w:fill="CFF0FC"/>
          </w:tcPr>
          <w:p>
            <w:pPr>
              <w:spacing w:after="0"/>
              <w:rPr>
                <w:sz w:val="6"/>
                <w:szCs w:val="6"/>
                <w:color w:val="auto"/>
              </w:rPr>
            </w:pPr>
          </w:p>
        </w:tc>
        <w:tc>
          <w:tcPr>
            <w:tcW w:w="18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7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April 20, 2016</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21, 2016</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January 25, 2018</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05, 2018</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Guangzhou U-Tiger Technology Co., LTD (“Guangzhou U Tiger”)</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24, 2018</w:t>
            </w:r>
          </w:p>
        </w:tc>
        <w:tc>
          <w:tcPr>
            <w:tcW w:w="120" w:type="dxa"/>
            <w:vAlign w:val="bottom"/>
            <w:shd w:val="clear" w:color="auto" w:fill="CFF0FC"/>
          </w:tcPr>
          <w:p>
            <w:pPr>
              <w:spacing w:after="0"/>
              <w:rPr>
                <w:sz w:val="15"/>
                <w:szCs w:val="15"/>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the Group and reorganization under identical common ownership</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history began in June 2014 with the commencement of operations of Beijing Rongke, as a limited liability company in PRC incorporated by Mr. Tianhua, Wu, Chief Executive Officer (the “CEO”). From December 2014 to January 2017, after the incorporation of the Beijing Rongke, series Angel, A, B, B+ investors (collectively, the “equity investors”) each acquired certain equity interest with preferential rights of Beijing Rongke.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June 2018, the Company undertook a series of reorganization transactions to re-domicile its business from the PRC to the Cayman Islands (the “Re-domiciliation”). The main purpose of the Re-domiciliation was to establish a Cayman holding company for the existing business in preparation for its overseas initial public offering. At the same shareholding percentages and the rights of each shareholder were substantially the same in Beijing Rongke and the Company, the Re-domiciliation was accounted for as a reorganization of entities under common ownership. As a result, Beijing Rongke’s historical financial information was consolidated in the consolidated financial statements of the Group since the beginning of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provide the Company control over the VIEs and the rights to the expected residual returns of the VIEs and VIEs’ subsidiaries, on June 7, 2018, Beijing WFOE I, entered into a series of contractual arrangements with Beijing Rongke and its equity investors, which were amended and restated on December 17, 2018 and October 11, 2022, respectively and was terminated on November 1, 2023. On the same date of such termination, the Beijing WFOE I, entered into a series of contractual arrangements with Beijing Rongke and its then shareholders. On October 30, 2018, Beijing WFOE II entered into a series of substantially same contractual arrangements with Beijing Yiyi.</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As a result of entering into these contractual agreements, the Company through its wholly owned subsidiaries, Beijing WFOE I and Beijing WFOE II (the “WFOEs”), has (1) power to direct the activities of the VIEs that most significantly affect the entities’ economic performance and (2) the right to receive economic benefits of the VIEs that could be significant to the VIEs. Accordingly, The Company is considered the primary beneficiary of the VIEs and consolidate the VIEs’ financial results of operations, assets, and liabilities in the Company’s consolidated financial statements. The Company also believes that this ability to exercise control ensures that the VIEs will continue to execute and renew the exclusive business cooperation agreements and pay service fees to the Company. The ability to charge service fees in amounts determined at the Company’s sole discretion, and by ensuring that the exclusive business cooperation </w:t>
      </w:r>
      <w:r>
        <w:rPr>
          <w:rFonts w:ascii="Times New Roman" w:cs="Times New Roman" w:eastAsia="Times New Roman" w:hAnsi="Times New Roman"/>
          <w:sz w:val="18"/>
          <w:szCs w:val="18"/>
          <w:color w:val="231F20"/>
        </w:rPr>
        <w:t>agreements are executed and renewed indefinitely, the Company has the right to receive substantially all of the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benefits from the VIEs.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provide the Company effective control over the VIEs</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Option Agreements. </w:t>
      </w:r>
      <w:r>
        <w:rPr>
          <w:rFonts w:ascii="Times New Roman" w:cs="Times New Roman" w:eastAsia="Times New Roman" w:hAnsi="Times New Roman"/>
          <w:sz w:val="18"/>
          <w:szCs w:val="18"/>
          <w:color w:val="231F20"/>
        </w:rPr>
        <w:t>The respective equity investors of the VIEs entered into Exclusive Option Agreements with the WFOEs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respectively, pursuant to which the equity investors of the VIEs grant the WFOEs an irrevocable and exclusive right to purchase or designate one or more persons to purchase the equity interests in the VIEs then held by the equity investors of the VIEs once or at multiple times at any time in part or in whole at the WFOEs’ sole and absolute discretion to the extent permitted by PRC laws. The standard equity interest purchase price is US$1.5 (RMB10). If a minimum price limited by PRC law applicable is more than US$1.5 (RMB10), the purchase price of the equity interest shall equal such minimum price. The agreement shall remain effective for a term of ten years and renewable at the WFOEs’ election.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 (Continued)</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Powers of Attorney. </w:t>
      </w:r>
      <w:r>
        <w:rPr>
          <w:rFonts w:ascii="Times New Roman" w:cs="Times New Roman" w:eastAsia="Times New Roman" w:hAnsi="Times New Roman"/>
          <w:sz w:val="18"/>
          <w:szCs w:val="18"/>
          <w:color w:val="231F20"/>
        </w:rPr>
        <w:t>The equity investors of the VIEs signed the irrevocable Powers of Attorney to appoint the WFOEs as the attorney-in-fact to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act on the equity investors’ behalf on all rights that the equity investors have in respect of their equity interest in the VIEs conferred by relevant laws and regulations and the articles of association of the VIEs. The rights include but not limited to attending shareholders meeting, exercising voting rights, designating and appointing on behalf of the equity investors, the legal representative (chairperson), the director, supervisor, the chief executive officer and other senior management members of the VIEs. Powers of attorney are coupled with an interest and shall be irrevocable and continuously valid from the date of execution of the Powers of Attorney.</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Spousal Consent letters. </w:t>
      </w:r>
      <w:r>
        <w:rPr>
          <w:rFonts w:ascii="Times New Roman" w:cs="Times New Roman" w:eastAsia="Times New Roman" w:hAnsi="Times New Roman"/>
          <w:sz w:val="18"/>
          <w:szCs w:val="18"/>
          <w:color w:val="231F20"/>
        </w:rPr>
        <w:t>The spouse of each married equity investors of the VIEs has signed a spousal consent letter, which unconditionally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irrevocably agreed not to assert any rights over the equity interest in the VIEs held by and registered in the name of their spouse. In addition, in the event that the spouse obtains any equity interest in the VIEs for any reason, they agreed to be bound by the contractual arrangements.</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Commitment letters. </w:t>
      </w:r>
      <w:r>
        <w:rPr>
          <w:rFonts w:ascii="Times New Roman" w:cs="Times New Roman" w:eastAsia="Times New Roman" w:hAnsi="Times New Roman"/>
          <w:sz w:val="18"/>
          <w:szCs w:val="18"/>
          <w:color w:val="231F20"/>
        </w:rPr>
        <w:t>The respective equity investors of the VIEs entered into Commitment letters with the WFOEs respectively.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of the VIEs undertake that, when exercising their options, they will refund, without any conditions, any amount and fees to the WFOEs which exceed the share purchase price provided in the Exclusive Option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transfer economic benefits to the Company</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Business Cooperation Agreements. </w:t>
      </w:r>
      <w:r>
        <w:rPr>
          <w:rFonts w:ascii="Times New Roman" w:cs="Times New Roman" w:eastAsia="Times New Roman" w:hAnsi="Times New Roman"/>
          <w:sz w:val="18"/>
          <w:szCs w:val="18"/>
          <w:color w:val="231F20"/>
        </w:rPr>
        <w:t>The WFOEs entered into Exclusive Business Cooperation Agreements with the VIEs and their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equity investors. Under the agreements, VIEs agree to appoint the WFOEs as their exclusive services provider to provide the business support, technical and consulting services at a determined price. The WFOEs shall have exclusive and proprietary rights and interests in all rights, ownership, interests and intellectual properties arising out of or created during the performance of the agreement. The annual service fee should not be less than 99% of VIEs’ total net profit and could be decided and adjusted by the WFOEs. The service agreements shall remain effective for ten years. The WFOEs has the right to unilaterally extend the agreement and the VIEs shall accept the extended term unconditionally.</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Equity Pledge Agreements. </w:t>
      </w:r>
      <w:r>
        <w:rPr>
          <w:rFonts w:ascii="Times New Roman" w:cs="Times New Roman" w:eastAsia="Times New Roman" w:hAnsi="Times New Roman"/>
          <w:sz w:val="18"/>
          <w:szCs w:val="18"/>
          <w:color w:val="231F20"/>
        </w:rPr>
        <w:t>The equity investors of the VIEs entered into Equity Pledge Agreements with the WFOEs, under which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pledged all of the equity interest in the VIEs to the WFOEs to ensure that the WFOEs collect all payments due by the VIEs, including without limitation the consulting and service fees regularly from the VIEs under the Exclusive Business Cooperation Agreements. The WFOEs shall have the right to collect dividends generated by the equity interest during the term of pledge. If any event of default, the WFOEs, as the pledgee, will be entitled to take possession of the equity interest pledged and to dispose of the pledged equity interest. The Equity Pledge Agreements remain continuously valid until all payments due under the Exclusive Business Cooperation Agreements have been fulfilled by the VIEs.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believes that the WFOEs’ contractual arrangements with the VIEs and their respective subsidiaries are in compliance with PRC laws and are legally enforceable. The equity investors of the VIEs are also major shareholders of the Company and therefore have no current interest in seeking to act contrary to the contractual arrangements. However, uncertainties in the PRC legal system could limit the Company’s ability to enforce these contractual arrangements and if the shareholders were to reduce their interest in the Company, their interests may diverge from that of the Company and that may potentially increase the risk that they would seek to act contrary to the contractual terms, for example by influencing the VIEs not to pay the service fees when required to do 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Powers of attorney. The WFOEs have to vote on all matters requiring shareholders’ approval in the VIEs. As noted above, the Company believes this Powers of attorney is legally enforceable but may not be as effective as direct equity ownership.</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shareholders are required to complete the registration of the equity pledge under the agreements with competent government authorities. In case any of the shareholders is in breach, the WFOEs will be entitled to certain right, including the right to dispose the pledged equity interest and to receive proceeds from the auction or sale of the pledge equity interests. The Company has completed the registration of the equity pledges relating to the VIEs with the local government authorities.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if the legal structure and contractual arrangements were found to be in violation of any existing PRC laws and regulations, the PRC regulatory authorities could:</w:t>
      </w:r>
    </w:p>
    <w:p>
      <w:pPr>
        <w:spacing w:after="0" w:line="54" w:lineRule="exact"/>
        <w:rPr>
          <w:sz w:val="20"/>
          <w:szCs w:val="20"/>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its operations;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 to finance its business and operations in China;</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w:t>
      </w:r>
    </w:p>
    <w:p>
      <w:pPr>
        <w:spacing w:after="0" w:line="117"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might not be able to comply, levy fines, confiscate the Group’s income or the income of its PRC subsidiary or affiliated PRC entities; or</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its business.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imposition of any of these penalties could result in a material adverse effect on the Group’s ability to conduct the Group’s business. In addition, if the imposition of any of these penalties causes the Group to lose the rights to direct the activities of the VIEs, VIEs’ subsidiaries, or the right to receive their economic benefits, the Group would no longer be able to consolidate the VIEs and VIEs’ subsidiaries. The Group does not believe that any penalties imposed or actions taken by the PRC government would result in the liquidation or dissolution of the Company, the WFOEs, the VIEs and their respective subsidiaries.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cash flows of the VIEs and VIEs’ subsidiaries taken as a whole, which were included in the Group’s consolidated financial statements with intercompany balances and transactions eliminated between the VIEs and VIEs’ 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24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58,095,337</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53,313,297</w:t>
            </w:r>
          </w:p>
        </w:tc>
        <w:tc>
          <w:tcPr>
            <w:tcW w:w="100" w:type="dxa"/>
            <w:vAlign w:val="bottom"/>
            <w:shd w:val="clear" w:color="auto" w:fill="CFF0FC"/>
          </w:tcPr>
          <w:p>
            <w:pPr>
              <w:spacing w:after="0"/>
              <w:rPr>
                <w:sz w:val="21"/>
                <w:szCs w:val="2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12,145,470</w:t>
            </w: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11,399,140</w:t>
            </w:r>
          </w:p>
        </w:tc>
        <w:tc>
          <w:tcPr>
            <w:tcW w:w="100" w:type="dxa"/>
            <w:vAlign w:val="bottom"/>
          </w:tcPr>
          <w:p>
            <w:pPr>
              <w:spacing w:after="0"/>
              <w:rPr>
                <w:sz w:val="20"/>
                <w:szCs w:val="20"/>
                <w:color w:val="auto"/>
              </w:rPr>
            </w:pPr>
          </w:p>
        </w:tc>
      </w:tr>
      <w:tr>
        <w:trPr>
          <w:trHeight w:val="238"/>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70,240,807</w:t>
            </w:r>
          </w:p>
        </w:tc>
        <w:tc>
          <w:tcPr>
            <w:tcW w:w="2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64,712,437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29,848,034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26,976,594</w:t>
            </w:r>
          </w:p>
        </w:tc>
        <w:tc>
          <w:tcPr>
            <w:tcW w:w="100" w:type="dxa"/>
            <w:vAlign w:val="bottom"/>
          </w:tcPr>
          <w:p>
            <w:pPr>
              <w:spacing w:after="0"/>
              <w:rPr>
                <w:sz w:val="20"/>
                <w:szCs w:val="20"/>
                <w:color w:val="auto"/>
              </w:rPr>
            </w:pPr>
          </w:p>
        </w:tc>
      </w:tr>
      <w:tr>
        <w:trPr>
          <w:trHeight w:val="24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1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640,527</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30,488,561</w:t>
            </w: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27,051,232</w:t>
            </w:r>
          </w:p>
        </w:tc>
        <w:tc>
          <w:tcPr>
            <w:tcW w:w="100" w:type="dxa"/>
            <w:vAlign w:val="bottom"/>
          </w:tcPr>
          <w:p>
            <w:pPr>
              <w:spacing w:after="0"/>
              <w:rPr>
                <w:sz w:val="20"/>
                <w:szCs w:val="20"/>
                <w:color w:val="auto"/>
              </w:rPr>
            </w:pPr>
          </w:p>
        </w:tc>
      </w:tr>
      <w:tr>
        <w:trPr>
          <w:trHeight w:val="644"/>
        </w:trPr>
        <w:tc>
          <w:tcPr>
            <w:tcW w:w="3540" w:type="dxa"/>
            <w:vAlign w:val="bottom"/>
          </w:tcPr>
          <w:p>
            <w:pPr>
              <w:spacing w:after="0"/>
              <w:rPr>
                <w:sz w:val="24"/>
                <w:szCs w:val="24"/>
                <w:color w:val="auto"/>
              </w:rPr>
            </w:pPr>
          </w:p>
        </w:tc>
        <w:tc>
          <w:tcPr>
            <w:tcW w:w="6600" w:type="dxa"/>
            <w:vAlign w:val="bottom"/>
            <w:gridSpan w:val="4"/>
          </w:tcPr>
          <w:p>
            <w:pPr>
              <w:ind w:left="1920"/>
              <w:spacing w:after="0"/>
              <w:rPr>
                <w:sz w:val="20"/>
                <w:szCs w:val="20"/>
                <w:color w:val="auto"/>
              </w:rPr>
            </w:pPr>
            <w:r>
              <w:rPr>
                <w:rFonts w:ascii="Times New Roman" w:cs="Times New Roman" w:eastAsia="Times New Roman" w:hAnsi="Times New Roman"/>
                <w:sz w:val="18"/>
                <w:szCs w:val="18"/>
                <w:color w:val="auto"/>
              </w:rPr>
              <w:t>F-14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-1396365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560" w:type="dxa"/>
            <w:vAlign w:val="bottom"/>
          </w:tcPr>
          <w:p>
            <w:pPr>
              <w:spacing w:after="0"/>
              <w:rPr>
                <w:sz w:val="20"/>
                <w:szCs w:val="20"/>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65,295,325</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44,382,701</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24,775,979</w:t>
            </w:r>
          </w:p>
        </w:tc>
        <w:tc>
          <w:tcPr>
            <w:tcW w:w="100" w:type="dxa"/>
            <w:vAlign w:val="bottom"/>
            <w:shd w:val="clear" w:color="auto" w:fill="CFF0FC"/>
          </w:tcPr>
          <w:p>
            <w:pPr>
              <w:spacing w:after="0"/>
              <w:rPr>
                <w:sz w:val="21"/>
                <w:szCs w:val="2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(700,720 )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(8,220,848 )</w:t>
            </w: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(4,204,124 )</w:t>
            </w:r>
          </w:p>
        </w:tc>
      </w:tr>
      <w:tr>
        <w:trPr>
          <w:trHeight w:val="461"/>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18,431,299</w:t>
            </w: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(1,552,547 )</w:t>
            </w: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(205,895 )</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(4,048,620 )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(416,486 )</w:t>
            </w: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(6,169,149 )</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(5,091,778 )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3,760,937</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402,292</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Total assets as of December 31, 2022 and 2023 disclosed above include amounts due from affiliated companies within the Group, amounting to US$38,288,706 and US$39,517,426, respectively. Total liabilities as of December 31, 2022 and 2023 disclosed above include amounts due to the internal companies amounting to US$17,552,417 and US$16,018,252, respectively. During 2021, 2022 and 2023, the VIEs earned inter-company total revenues amounting to US$60,971,555, US$40,966,619 and US$21,984,942, respectively. All of these intercompany balances and transactions have been eliminated in consolidation.</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main revenues were mostly generated from its wholly owned subsidiaries in New Zealand, Singapore, PRC and the United States for the years ended December 31, 2021, 2022, and 2023. Most of Group’s consolidated VIEs and their subsidiaries operate business in the PRC and their main functions are to support Group’s licensed/registered entities in New Zealand, Singapore, and the United States (“Licensed Entities”). Certain of the costs generated by VIEs and their subsidiaries are covered by these Licensed Entities through inter-company transactions, and the Group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Group’s consolidated VIEs and their subsidiaries periodically for the services rendered through inter-company transactions, pursuant to the terms of the contractual arrangements between them.</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subsidiaries and consolidated VIEs did not declare nor distribute any dividends or distributions for the years ended December 31, 2021, 2022 and 2023. Additionally, the holding company did not declare nor distribute any dividends or distribution for the years ended December 31, 2021, 2022 and 2023.</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There are no consolidated VIEs’ assets that are collateralized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Relevant PRC laws and regulations restrict the VIEs from transferring a portion of their net assets, equivalent to the balance of their statutory reserve and their share capital, to the Company in the form of loans and advances or cash dividends. Please refer to Note 22 for disclosure of restricted net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The consolidated financial statements of the Group include the financial statements of the Company, its wholly-owned subsidiaries, its VIEs and the VIEs’ subsidiaries. The Company believes that the disclosures are adequate to make the information presented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Significant accounting estimates reflected in the Group’s consolidated financial statements include allowance for doubtful accounts, the useful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and goodwill, fair value measurement of long-term equity securities without readily determinable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purchase price allocation for business acquisition,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2021 Series A1 note adopting the fair value option before modification (Note 9), the valuation allowance for deferred tax assets and income taxes. Actual results could differ from those estimates, and such differences may be material to the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significant inputs are observable or can be derived principally from, or corroborated by, observable market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The Group’s financial instruments consist primarily of cash and cash equivalents, cash—segregated for regulatory purpose, term deposits, financial instruments held, at fair value, derivative assets or liabilities in relation to the Company’s derivative transactions, receivables from or payables to customers, receivables from or payables to brokers, dealers, clearing organizations, amounts due from or to related parties,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securities without readily determinable fair value, long-term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and convertible bonds. The Company carries its financial instruments held, at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sales securities at fair value. Financial instruments held, at fair value, based upon quoted market price, consist of stock investments related to the exchange trade funds (“ETFs”), US treasuries and corporate bonds. The carrying amounts of cash and cash equivalents, cash— segregated for regulatory purpose, term deposits, receivables from or payables to customers, receivables from or payables to brokers, dealers and clearing organizations, amounts due from or to related parties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of these instruments. The fair value of convertible bonds that adopted fair value option (2021 Series A1 Note) was measured using binomial-lattice option valuation model and significant unobservable inputs included share price, volatility, expected dividend, risk free interest rate and bond yield. The carrying amounts of convertible bonds issued approximate their fair values.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may utilize derivative financial instruments to mitigate the risk of fair value change of its investments in certain consolidated sponsored funds seeded for business development purposes. These derivative financial instruments are not designated as hedging instruments for accounting purposes. The Company does not use derivative financial instruments for speculative purposes. The Company may also acquire derivative financial instruments (i.e., warrants) during the course of its IPO distribution services. The Company records the derivative financial instruments in financial instrument held, at fair value or accrued expenses and other current liabilities on its consolidated balance sheets and measures these instruments at fair value. As of December 31, 2022 and 2023, the Company held nil derivative financial instruments in the Company’s consolidated balance sheets. For the years ended December 31, 2021, 2022 and 2023, the Company recognized nil, US$68,281 and nil realized loss, as well as US$80,703, US$12,906 and nil unrealized loss in other income in the Company’s consolidated statements of comprehensive income (loss),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with financial institutions, term deposits with an original maturity of three months or less and highly liquid investments, which are unrestricted from withdrawal or use, or which have original maturities of three months or less when purchased.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Cash-segregated for regulatory purpose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are obligated by rules mandated by their primary regulators to segregate or set aside amount of cash deposited by the customer and the Company. Such regulations are promulgated to protect customer assets and meet the capital adequacy and other regulatory requirement. A corresponding payable to customers is recorded upon receipt of the cash from the customer. Restricted cash represents cash and cash equivalents that are subject to withdrawal or usage restrictions. Cash segregated for regulatory purposes meets the definition of restricted cash and is included in “cash, cash equivalents and restricted cash” in the consolidated statements of cash flows.</w:t>
      </w:r>
    </w:p>
    <w:p>
      <w:pPr>
        <w:spacing w:after="0" w:line="18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TradeUP Securities, the Company’s broker-dealer subsidiary located in the USA, had a cash of US$777,387,205 and US$1,132,090,347 segregated for the exclusive benefit of customers under Rule 15c3-3 of the Securities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deposits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Term deposits consist of bank deposits with an original maturity of greater than three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and payables to Customers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Receivables from customers include the margin loans extended to consolidated accounts customers by the Group. Securities owned by the customers, which are not recorded in the consolidated balance sheets, are held as collateral for amounts due on the loan receivables. Receivables from customers are recorded net of allowance for doubtful accounts. Revenues earned from the margin loan transactions are included in interest income. The amounts receivable from customers that are determined by management to be uncollectible when the fair value of the collaterals fall under the carrying value of the receivables are recorded as bad debt expense in the consolidated statements of comprehensive income (loss).</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Besides, the Group’s New Zealand subsidiary offered housing loans with collateral of properties in 2022 and 2023. The housing loans were fixed interest rate loans with mortgages on the applicable properties. Interests are accrued and repaid monthly and the principal amounts are repaid upon maturity. The outstanding balance of the housing loans were US$2.4 million and US$6.1 million as of December 31, 2022 and 2023, respectively. The Group’s allowance for housing loans represents management’s estimate of expected credit losses over the remaining expected life of such loans that measured at amortized cost. Changes in the allowance are recorded in the provision for credit losses on the Group’s consolidated statements of comprehensive income (loss). The Group applied a discounted cash flow (DCF) method to determine the allowance. The DCF method was based on relevant information about past events, current conditions and reasonable and supportable forecasts that affect the collectability of the loans.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2022 and 2023, US$426,953, US$302,634 and US$294,778 of allowance for doubtful accounts were recorded,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movement of allowance for doubtful accounts from customers for the year ended December 31, 2022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ind w:left="67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Pr>
          <w:p>
            <w:pPr>
              <w:spacing w:after="0"/>
              <w:rPr>
                <w:sz w:val="21"/>
                <w:szCs w:val="21"/>
                <w:color w:val="auto"/>
              </w:rPr>
            </w:pPr>
          </w:p>
        </w:tc>
        <w:tc>
          <w:tcPr>
            <w:tcW w:w="29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1"/>
        </w:trPr>
        <w:tc>
          <w:tcPr>
            <w:tcW w:w="5560" w:type="dxa"/>
            <w:vAlign w:val="bottom"/>
          </w:tcPr>
          <w:p>
            <w:pPr>
              <w:spacing w:after="0"/>
              <w:rPr>
                <w:sz w:val="20"/>
                <w:szCs w:val="20"/>
                <w:color w:val="auto"/>
              </w:rPr>
            </w:pPr>
          </w:p>
        </w:tc>
        <w:tc>
          <w:tcPr>
            <w:tcW w:w="176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518,741</w:t>
            </w:r>
          </w:p>
        </w:tc>
        <w:tc>
          <w:tcPr>
            <w:tcW w:w="2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696,508</w:t>
            </w:r>
          </w:p>
        </w:tc>
      </w:tr>
      <w:tr>
        <w:trPr>
          <w:trHeight w:val="23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Additional/(Reversal)</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302,634</w:t>
            </w:r>
          </w:p>
        </w:tc>
        <w:tc>
          <w:tcPr>
            <w:tcW w:w="2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294,778</w:t>
            </w:r>
          </w:p>
        </w:tc>
      </w:tr>
      <w:tr>
        <w:trPr>
          <w:trHeight w:val="247"/>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17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(124,867 )</w:t>
            </w:r>
          </w:p>
        </w:tc>
        <w:tc>
          <w:tcPr>
            <w:tcW w:w="180" w:type="dxa"/>
            <w:vAlign w:val="bottom"/>
            <w:tcBorders>
              <w:bottom w:val="single" w:sz="8" w:color="CFF0FC"/>
            </w:tcBorders>
            <w:shd w:val="clear" w:color="auto" w:fill="CFF0FC"/>
          </w:tcPr>
          <w:p>
            <w:pPr>
              <w:spacing w:after="0"/>
              <w:rPr>
                <w:sz w:val="21"/>
                <w:szCs w:val="21"/>
                <w:color w:val="auto"/>
              </w:rPr>
            </w:pPr>
          </w:p>
        </w:tc>
        <w:tc>
          <w:tcPr>
            <w:tcW w:w="2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696,508</w:t>
            </w:r>
          </w:p>
        </w:tc>
        <w:tc>
          <w:tcPr>
            <w:tcW w:w="2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991,286</w:t>
            </w:r>
          </w:p>
        </w:tc>
      </w:tr>
      <w:tr>
        <w:trPr>
          <w:trHeight w:val="20"/>
        </w:trPr>
        <w:tc>
          <w:tcPr>
            <w:tcW w:w="55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-187960</wp:posOffset>
            </wp:positionV>
            <wp:extent cx="1111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customers represent the closing cash balance to the customers, which include cash deposit and cash collateral received or advanced from consolidated account customers derived from security borrowing and lending activities.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receives or advances cash collateral, in an amount equals to or in excess of the fair value of the securities borrowed and loaned by customers. The Company monitors the market value of securities borrowed and loaned on a daily basis, with additional collateral obtained or refunded as permitted contractually. </w:t>
      </w:r>
      <w:r>
        <w:rPr>
          <w:rFonts w:ascii="Times New Roman" w:cs="Times New Roman" w:eastAsia="Times New Roman" w:hAnsi="Times New Roman"/>
          <w:sz w:val="18"/>
          <w:szCs w:val="18"/>
          <w:color w:val="212529"/>
        </w:rPr>
        <w:t>Interest income and interest expense are recorded on an accrual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Receivables from </w:t>
      </w:r>
      <w:r>
        <w:rPr>
          <w:rFonts w:ascii="Times New Roman" w:cs="Times New Roman" w:eastAsia="Times New Roman" w:hAnsi="Times New Roman"/>
          <w:sz w:val="18"/>
          <w:szCs w:val="18"/>
          <w:b w:val="1"/>
          <w:bCs w:val="1"/>
          <w:i w:val="1"/>
          <w:iCs w:val="1"/>
          <w:color w:val="212529"/>
        </w:rPr>
        <w:t>and Payables to</w:t>
      </w:r>
      <w:r>
        <w:rPr>
          <w:rFonts w:ascii="Times New Roman" w:cs="Times New Roman" w:eastAsia="Times New Roman" w:hAnsi="Times New Roman"/>
          <w:sz w:val="18"/>
          <w:szCs w:val="18"/>
          <w:b w:val="1"/>
          <w:bCs w:val="1"/>
          <w:i w:val="1"/>
          <w:iCs w:val="1"/>
          <w:color w:val="auto"/>
        </w:rPr>
        <w:t xml:space="preserve"> brokers, dealers and clearing organizations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Receivables from brokers, dealers and clearing organizations include customers’ cash deposits, the Group’s revenue receivables, cash collateral received for consolidated account customers’ security lending activities, and net receivables arising from unsettled trades.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brokers, dealers and clearing organizations include borrowed margin and cash collaterals received from securities borrowing transactions.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Securities borrowing transactions require the Company to deposit cash with the lender, and securities lending transactions result in the Company receiving collateral in the form of cash from the brokers, dealers and clearing organization. The cash collateral advanced to or received from the brokers are in an amount generally equal to or in excess of the market value of the securities that borrowed or loaned by the consolidated account customers. The Company monitors the market value of securities borrowed and loaned on a daily basis, with additional collateral obtained or refunded as permitted contractually. Interest income and interest expense are recorded on an accrual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intangible assets, net</w:t>
      </w:r>
    </w:p>
    <w:p>
      <w:pPr>
        <w:spacing w:after="0" w:line="229" w:lineRule="exact"/>
        <w:rPr>
          <w:sz w:val="20"/>
          <w:szCs w:val="20"/>
          <w:color w:val="auto"/>
        </w:rPr>
      </w:pPr>
    </w:p>
    <w:p>
      <w:pPr>
        <w:jc w:val="both"/>
        <w:ind w:right="20" w:firstLine="749"/>
        <w:spacing w:after="0" w:line="239" w:lineRule="exact"/>
        <w:rPr>
          <w:sz w:val="20"/>
          <w:szCs w:val="20"/>
          <w:color w:val="auto"/>
        </w:rPr>
      </w:pPr>
      <w:r>
        <w:rPr>
          <w:rFonts w:ascii="Times New Roman" w:cs="Times New Roman" w:eastAsia="Times New Roman" w:hAnsi="Times New Roman"/>
          <w:sz w:val="18"/>
          <w:szCs w:val="18"/>
          <w:color w:val="auto"/>
        </w:rPr>
        <w:t>Property and equipment mainly consist of electronic equipment, office equipment, leasehold improvements and software. The property and equipment are carried at cost less accumulated depreciation. Depreciation is calculated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following estimated useful lives: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5-14.25 years</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terms or the estimated useful lives of the assets</w:t>
            </w:r>
          </w:p>
        </w:tc>
      </w:tr>
    </w:tbl>
    <w:p>
      <w:pPr>
        <w:spacing w:after="0" w:line="22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mainly consist of the brokerage’s license in USA, New Zealand, Hong Kong, Australia and </w:t>
      </w:r>
      <w:r>
        <w:rPr>
          <w:rFonts w:ascii="Times New Roman" w:cs="Times New Roman" w:eastAsia="Times New Roman" w:hAnsi="Times New Roman"/>
          <w:sz w:val="16"/>
          <w:szCs w:val="16"/>
          <w:color w:val="auto"/>
        </w:rPr>
        <w:t>United Kingdom</w:t>
      </w:r>
      <w:r>
        <w:rPr>
          <w:rFonts w:ascii="Times New Roman" w:cs="Times New Roman" w:eastAsia="Times New Roman" w:hAnsi="Times New Roman"/>
          <w:sz w:val="18"/>
          <w:szCs w:val="18"/>
          <w:color w:val="auto"/>
        </w:rPr>
        <w:t xml:space="preserve"> acquired by the Company, which are recognized as intangible assets with indefinite life, and it should not be amortized until its useful life is determined to be no longer indefinite. An intangible asset that is not subject to amortization is tested for impairment at least annually or if events or changes in circumstances indicate that the asset might be impaired. The Group also holds a trademark which is an intangible asset with a definite useful life of around 8 years. Intangible assets with definite lives are carried at cost less accumulated amortization and impairment loss, if any, and are amortized using the straight-line method over the estimated economic lives.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not amortized but is tested for impairment annually or more frequently if events or changes in circumstances indicate that it might be impaired.</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on an annual basis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80"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estimation of fair value of each reporting unit using a discounted cash flow methodology also requires significant judgments, including estimation of future cash flows, which is dependent on internal forecasts, estimation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rate of growth for the Group’s business, estimation of the useful life over which cash flows will occur, and determination of the Group’s weighted average cost of capital. The estimates used to calculate the fair value of a reporting unit change from year to year based on operating results and market conditions. Changes in these estimates and assumptions could materially affect the determination of fair value and goodwill impairment for the reporting unit.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(Continued)</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first assesses relevant events and circumstances to determine whether it is necessary to perform the two-step goodwill impairment test. If, after assessing the totality of events or circumstances such as those described in the preceding paragraph, the Group determines that it is not more likely than not that the fair value of a reporting unit is less than its carrying amount, then the first and second steps of the goodwill impairment test are unnecessary. The first step of the goodwill impairment test, used to identify potential impairment, compares the fair value of a reporting unit with its carrying amount, including goodwill. If the carrying amount of a reporting unit is greater than zero and its fair value exceeds its carrying amount, goodwill of the reporting unit is considered not impaired and the second step of the impairment test is unnecessary.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an entry to adjust the value of any assets or liabilities. The Group concluded that the estimated fair value of the reporting unit substantially exceeded the underlying carrying value as of December 31, 2022 and 2023. No impairment charge was recognized for the years ended December 31, 2021, 2022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leases offices and other facilities in different cities in the PRC, New Zealand, Singapore, USA and other countries. The Group determines whether an arrangement constitutes a lease and records lease liabilities and right-of-use assets on its consolidated balance sheets at the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respective incremental borrowing rate for each jurisdiction based on their analysis of publicly traded debt securities of companies with credit and financial profiles similar to its own. The Group measures right-of-use assets based on the corresponding lease liability adjusted for payments made to the lessor at the commencement date, and initial direct costs it incurs under the lease. The Group begins recognizing operating lease expense when the lessor makes the underlying asset available to the Group. The Group’s leases have remaining lease terms of up to five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short-term leases, the Group records operating lease expense in its consolidated statements of comprehensive income (loss) on a straight-line basis over the lease term and record variable lease payments as incurred.</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i w:val="1"/>
          <w:iCs w:val="1"/>
          <w:color w:val="auto"/>
        </w:rPr>
        <w:t>term investment</w:t>
      </w:r>
    </w:p>
    <w:p>
      <w:pPr>
        <w:spacing w:after="0" w:line="225" w:lineRule="exact"/>
        <w:rPr>
          <w:sz w:val="20"/>
          <w:szCs w:val="20"/>
          <w:color w:val="auto"/>
        </w:rPr>
      </w:pPr>
    </w:p>
    <w:p>
      <w:pPr>
        <w:jc w:val="both"/>
        <w:ind w:firstLine="749"/>
        <w:spacing w:after="0" w:line="245" w:lineRule="exact"/>
        <w:rPr>
          <w:sz w:val="20"/>
          <w:szCs w:val="20"/>
          <w:color w:val="auto"/>
        </w:rPr>
      </w:pPr>
      <w:r>
        <w:rPr>
          <w:rFonts w:ascii="Times New Roman" w:cs="Times New Roman" w:eastAsia="Times New Roman" w:hAnsi="Times New Roman"/>
          <w:sz w:val="18"/>
          <w:szCs w:val="18"/>
          <w:color w:val="auto"/>
        </w:rPr>
        <w:t>The Group’s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consist of equity securities without readily determinable fair values,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and equity method investment.</w:t>
      </w:r>
    </w:p>
    <w:p>
      <w:pPr>
        <w:spacing w:after="0" w:line="199"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without readily determinable fair values</w:t>
      </w:r>
    </w:p>
    <w:p>
      <w:pPr>
        <w:spacing w:after="0" w:line="225"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in equity securities without readily determinable fair values, the Group elects to use the measurement alternative defined as cost, less impairment, adjusted by observable price change. The Group reviews its equity securities without readily determinable fair values investments for impairment at each reporting period by performing a qualitative assessment considering impairment indicators. The Group recorded US$600,000, nil and nil impairment loss on its equity securities without readily determinable fair values during the years ended December 31, 2021, 2022 and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i w:val="1"/>
          <w:iCs w:val="1"/>
          <w:color w:val="auto"/>
        </w:rPr>
        <w:t>term investment (Continued)</w:t>
      </w:r>
    </w:p>
    <w:p>
      <w:pPr>
        <w:spacing w:after="0" w:line="225" w:lineRule="exact"/>
        <w:rPr>
          <w:sz w:val="20"/>
          <w:szCs w:val="20"/>
          <w:color w:val="auto"/>
        </w:rPr>
      </w:pPr>
    </w:p>
    <w:p>
      <w:pPr>
        <w:ind w:left="760" w:hanging="752"/>
        <w:spacing w:after="0" w:line="207" w:lineRule="exact"/>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225" w:lineRule="exact"/>
        <w:rPr>
          <w:rFonts w:ascii="Times New Roman" w:cs="Times New Roman" w:eastAsia="Times New Roman" w:hAnsi="Times New Roman"/>
          <w:sz w:val="18"/>
          <w:szCs w:val="18"/>
          <w:color w:val="auto"/>
        </w:rPr>
      </w:pPr>
    </w:p>
    <w:p>
      <w:pPr>
        <w:ind w:left="760"/>
        <w:spacing w:after="0" w:line="25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which are determined to be debt securities, the Group accounts for them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when they are not classified as either trading or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investments.</w:t>
      </w:r>
    </w:p>
    <w:p>
      <w:pPr>
        <w:spacing w:after="0" w:line="130" w:lineRule="exact"/>
        <w:rPr>
          <w:rFonts w:ascii="Times New Roman" w:cs="Times New Roman" w:eastAsia="Times New Roman" w:hAnsi="Times New Roman"/>
          <w:sz w:val="18"/>
          <w:szCs w:val="18"/>
          <w:color w:val="auto"/>
        </w:rPr>
      </w:pPr>
    </w:p>
    <w:p>
      <w:pPr>
        <w:ind w:left="760"/>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are carried at its fair value and the unrealized gains or losses from the changes in fair values are included in accumulated other comprehensive income or loss.</w:t>
      </w:r>
    </w:p>
    <w:p>
      <w:pPr>
        <w:spacing w:after="0" w:line="198" w:lineRule="exact"/>
        <w:rPr>
          <w:rFonts w:ascii="Times New Roman" w:cs="Times New Roman" w:eastAsia="Times New Roman" w:hAnsi="Times New Roman"/>
          <w:sz w:val="18"/>
          <w:szCs w:val="18"/>
          <w:color w:val="auto"/>
        </w:rPr>
      </w:pPr>
    </w:p>
    <w:p>
      <w:pPr>
        <w:jc w:val="both"/>
        <w:ind w:left="76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reviews its investments for other than temporary impairment based on the specific identification method. The Group considers available quantitative and qualitative evidence in evaluating potential impairment of its investments. If the cost of an investment exceeds the investment’s fair value, the Group considers, among other factors, general market conditions, government economic plans, the duration and the extent to which the fair value of the investment is less than the cost, the Group’s intent and ability to hold the investment, and the financial condition and near term prospects of the investees. The Group recorded nil, US$472,605 and nil impairment losses on its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during the years ended December 31, 2021, 2022 and 2023, respectively.</w:t>
      </w:r>
    </w:p>
    <w:p>
      <w:pPr>
        <w:spacing w:after="0" w:line="202"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w:t>
      </w:r>
    </w:p>
    <w:p>
      <w:pPr>
        <w:spacing w:after="0" w:line="225"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323 Investment – Equity Method and Joint Ventures, the Group accounts for an equity method investment over which it has significant influence but does not own a majority of the equity interest or otherwise controls and the investments are either common stock or in substance common stock using the equity method. The Group’s share of the investee’s profit and loss is recognized in the consolidated statements comprehensive income (loss) of the period. The Group choose to apply the nature of the distribution approach when receiving distributions from equity method investee in the consolidated statements of cash flow.</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An impairment loss on the equity method investments is recognized in the consolidated statements of comprehensive income (loss) when the decline in value is determined to be other-than-temporary. The Group recorded nil, US$175,000 and nil impairment losses on its equity method investment during the years ended December 31, 2021, 2022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Bonds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Before January 1, 2022, the Group determine the appropriate accounting treatment of the 2021 Series A1 Note in accordance with the terms in relation to the cash conversion feature. As the conversion option may be settled entirely or partially in cash at the Company’s option, the Company separated the 2021 Series A1 Note into liability and equity components in accordance with ASC Subtopic 470-20, Debt with Conversion and Other Options.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 2022, the Group adopted ASU 2020-06, Accounting for Convertible Instruments and Contracts in an Entity’s Own Equity using modified-retrospective transition approach. Pursuant to ASU 2020-06, for the 2021 Series A1 Note, conversion options that were previously bifurcated and recorded in equity was recombined as a single instrument classified as a liability from January 1,2022. The Company adopted the modified retrospective method, and the change was recorded in the consolidated statements of changes in shareholders' equity. Please refer to Note 9 for disclosure of convertible bond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recognized when or as the Group satisfies its performance obligations by transferring the promised services to the customers. A service is transferred to a customer when or as the customer obtains control of that service. A performance obligation may be satisfied at a point in time or over time. Revenue from a performance obligation satisfied at a point in time is recognized at the point in time that the Group determines the customer obtains control over the promised service. Revenue from a performance obligation satisfied over time is recognized by measuring the Group’s progress in satisfying the performance obligation in a manner that depicts the transfer of the services to the customer. The amount of revenue recognized reflects the consideration the Group expects to receive in exchange for those promised services (i.e., the “transaction price”).</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revenues from contracts with customers are recognized when the performance obligations are satisfied at an amount that reflects the consideration expected to be received in exchange for such services. The majority of the Group’s performance obligations are satisfied at a point in time upon the successful execution and clearing of the customer’s trade order. Revenue is collected from the Group’s clearing partners in the brokerage business or from the customers directly by debiting their brokerage account with the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Group’s services under contracts with customers are mainly related to its commission earned from its online brokerage business under the consolidated accounts (which customer information are not disclosed to the broker) and the fully disclosed accounts. The Group’s main sources of revenue from contracts with customers are as follows:</w:t>
      </w:r>
    </w:p>
    <w:p>
      <w:pPr>
        <w:spacing w:after="0" w:line="176" w:lineRule="exact"/>
        <w:rPr>
          <w:sz w:val="20"/>
          <w:szCs w:val="20"/>
          <w:color w:val="auto"/>
        </w:rPr>
      </w:pPr>
    </w:p>
    <w:p>
      <w:pPr>
        <w:jc w:val="both"/>
        <w:ind w:left="1500" w:hanging="743"/>
        <w:spacing w:after="0" w:line="266"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earned for the Group’s online brokerage business in customers’ fully disclosed accounts and consolidated accounts are charged for each customer trade order executed and cleared by broker on a trade date basis and are reported as commissions in the consolidated statements of comprehensive income (loss).</w:t>
      </w:r>
    </w:p>
    <w:p>
      <w:pPr>
        <w:spacing w:after="0" w:line="175" w:lineRule="exact"/>
        <w:rPr>
          <w:rFonts w:ascii="Times New Roman" w:cs="Times New Roman" w:eastAsia="Times New Roman" w:hAnsi="Times New Roman"/>
          <w:sz w:val="18"/>
          <w:szCs w:val="18"/>
          <w:color w:val="auto"/>
        </w:rPr>
      </w:pPr>
    </w:p>
    <w:p>
      <w:pPr>
        <w:jc w:val="both"/>
        <w:ind w:left="150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attributes of transactions under consolidated accounts, the Group provides brokerage service for its customers. Commission fees are deducted from the customer’s account at the time of trade order initiation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is directed to the broker. The Group recognizes revenue at the time of execution of the order (i.e., trade date) on a gross basis as the Group is determined to be the primary obligor in fulfilling the trade order initiated by the customer.</w:t>
      </w:r>
    </w:p>
    <w:p>
      <w:pPr>
        <w:spacing w:after="0" w:line="200" w:lineRule="exact"/>
        <w:rPr>
          <w:rFonts w:ascii="Times New Roman" w:cs="Times New Roman" w:eastAsia="Times New Roman" w:hAnsi="Times New Roman"/>
          <w:sz w:val="18"/>
          <w:szCs w:val="18"/>
          <w:color w:val="auto"/>
        </w:rPr>
      </w:pPr>
    </w:p>
    <w:p>
      <w:pPr>
        <w:jc w:val="both"/>
        <w:ind w:left="150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attributes of transactions under fully disclosed accounts, the Group provides the agreed services to its customers in facilitating the trades. Every time the broker executes and clears a trade, the broker collects the commissions, deducts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and returns the rest of the commission fees to the Group. Accordingly, the commission fee is recorded on a net basis.</w:t>
      </w:r>
    </w:p>
    <w:p>
      <w:pPr>
        <w:spacing w:after="0" w:line="20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servicing fees are related to margin loans and securities borrowing and lending activities provided by the brokers under the fully disclosed accounts. Revenue is recognized over the period that the margin loans and securities borrowing and lending activities are outstanding.</w:t>
      </w:r>
    </w:p>
    <w:p>
      <w:pPr>
        <w:spacing w:after="0" w:line="17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generated from margin loans and securities borrowing and lending activities provided to consolidated account customers and interest income from bank deposits. Interest income is recognized on an accrual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 (Continued)</w:t>
      </w:r>
    </w:p>
    <w:p>
      <w:pPr>
        <w:spacing w:after="0" w:line="227" w:lineRule="exact"/>
        <w:rPr>
          <w:sz w:val="20"/>
          <w:szCs w:val="20"/>
          <w:color w:val="auto"/>
        </w:rPr>
      </w:pPr>
    </w:p>
    <w:p>
      <w:pPr>
        <w:jc w:val="both"/>
        <w:ind w:left="1500" w:hanging="743"/>
        <w:spacing w:after="0" w:line="254"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consist of the revenue arising from initial public offering (“IPO”) distribution service, currency exchange service and others. Revenue from the IPO distribution service is derived from IPO underwriting and new share subscription services in relation to IPOs in the USA and Hong Kong capital market. IPO distribution revenue are generally recognized when the services are completed. The related revenue from IPO distribution services amounted at US$12,565,574, US$8,185,595 and US$4,111,076 for the years ended December 31, 2021, 2022 and 2023. Revenue from currency exchange service is charged to the Group’s clients for providing currency exchange service, which was recorded upon the time when the services are rendered to customers. The related revenue from currency exchange service amounted at US$12,607,089, US$6,904,233 and US$5,326,985 for the years ended December 31, 2021, 2022 and 2023. The Group also provides promotional and advertisement service and financial advisory service under the contracts with customers, which are recorded over the period of service provided.</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Contract liabilities arise when customers remit contractual cash payments in advance of the Company satisfying its performance obligations under the contract and are derecognized when the revenue associated with the contract is recognized either when a milestone is met triggering the contractual right to bill the customer or when the performance obligation is satisfied. Contract liabilities are reported in deferred income and accrued expenses and other current liabilities-advanced from customers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employee benefits, rental and depreciation expenses related to the development of the Group’s proprietary trading platform, back-end technology and customer relationship management system. For the years ended December 31, 2021, 2022 and 2023, US$47,769,773, US$60,146,506 and US$63,458,798 of research and development costs have been expensed as incurred as the costs qualifying for capitalization have been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Depreciation and Amortization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lease payments on office and data center leases and related occupancy costs, such as utilities. Depreciation and amortization expenses result from the depreciation of fixed assets, such as electronic equipment, office equipment as well as leasehold improvements and the amortization of intangible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25"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transactions with employees and managements, such as share options are measured based on the grant date fair value of the equity instrument. The Group has elected to recognize compensation expenses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for all employee equity awards granted with graded vesting provided that the cumulative amount of compensation cost recognized at any date is at least equal to the portion of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value of the options that are vested at that date, over the requisite service period of the award, which is generally the vesting period of the award. Compensation expenses for awards with performance conditions is recognized when it is probable that the performance condition will be achieved. The Group elects to recognize forfeitures when they occur. Compensation expenses for awards with service conditions is recognized on a straight-line method over the requisite service period.</w:t>
      </w:r>
    </w:p>
    <w:p>
      <w:pPr>
        <w:spacing w:after="0" w:line="1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cancellation of an award accompanied by the concurrent grant of a replacement award is accounted for as a modification of the terms of the awards. The incremental compensation cost is measured as the excess of the fair value of the modified award over the fair value of the modified award at the modification date. The incremental portion of share-based compensation for the vested portion is recognized immediately and the incremental portion of share-based compensation for the unvested portion is recognized over the remaining vesting period of the award. If an award is canceled without the concurrent grant of a replacement award or any other consideration, unrecognized compensation cost related to the canceled award is recognized immediately upon cancelation.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awards granted with a performance condition that affects vesting, the performance condition is not considered in determining the award’s grant-date fair value; however, the performance condition is considered when estimating the quantity of awards that are expected to vest. No compensation expense is recorded for awards with a performance condition unless and until the performance condition is determined to be probable of achievement.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Current taxes are provided for in accordance with the laws of the relevant taxing authorities. Deferred taxes are recognized when temporary differences exist between the tax basis of assets and liabilities and their reported amounts in the consolidated financial statements. Deferred tax assets and liabilities, including those for net operating loss carryforwards are measured using enacted statutory tax rates applicable to future years. Deferred tax assets are reduced by a valuation allowance if, in the opinion of management,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some portion or all of the deferred tax assets will not be realized.</w:t>
      </w:r>
    </w:p>
    <w:p>
      <w:pPr>
        <w:spacing w:after="0" w:line="20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Group accounts for uncertainty in income taxes by recording an unrecognized tax benefit resulting from tax positions taken or expected to be taken in a tax return. The financial statement effects of tax positions are recognized when the Group believes that it is more likely than not that the tax position will be sustained on examination by the taxing authorities based on the technical merits of the position. A tax position that meets the more likely than not recognition threshold is measured as the largest amount of tax benefit that is greater than 50 percent likely of being realized upon settlement. The Group presents interest and penalties, if any, related to income taxes in income tax expense.</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accounts for residual income tax effects in accumulated other comprehensive income due to a change in tax law or a change in judgment about realization of a valuation allowance using the portfolio method and only releases residual amounts when the entire portfolio is liquidated.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or loss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Comprehensive income or loss consists of two components, net income or loss and other comprehensive income or loss, net of tax. Other comprehensive income or loss refers to revenue, expenses, and gains and losses that are recorded as an element of shareholders’ equity but are excluded from net income or loss. The Group’s other comprehensive income or loss consists of foreign currency translation adjustments from its subsidiaries not using the US$ as their functional currency and the fair value change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of the Group, if any. Comprehensive income or loss is reported in the consolidated statements of comprehensive income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accounted for those shares repurchased as treasury stock at cost, Treasury stock, and is shown separately in the shareholders’ equity as the Company has not yet decided on the ultimate disposition of those shares acquired. When the Company decides to cancel the treasury stock, the difference between the original issuance price and the repurchase price is debited into additional paid-in capital. Refer to Note 15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8"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For the Company’s consolidated subsidiaries, VIEs and the VIEs’ subsidiaries,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recognized to reflect the portion of their equity that is not attributable, directly or indirectly, to the Company as the controlling shareholder.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classified as a separate line item in the equity section of the Group’s consolidated balance sheets and have been separately disclosed in the Group’s consolidated statements of comprehensive income (loss) to distinguish the interests from that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 preferred shares financing by a consolidated VIE’s subsidiary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and recorded accretions on the preferred shares to the redemption value from the issuance dates to the earliest redemption 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reporting currency of the Company is the US$. The Company and the Company’s subsidiaries with operations in the PRC, Hong Kong, New Zealand, Singapore, Australia, the United States and other jurisdictions use their respective local currencies as their functional currencies except for TBNZ which changed the functional currency from local currency to US$. The financial statements of the Company’s subsidiaries, other than the subsidiaries with functional currency in US$, are translated into US$ using the exchange rate as of the balance sheet date for assets and liabilities and the average daily exchange rate for each month for income and expense items. Translation gains and losses are recorded as a separate component of other comprehensive income (loss) in the consolidated statements of change in equity and consolidated statements of comprehensive income (loss).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the financial statements of the Company’s subsidiaries,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All gains and losses arising from foreign currency transactions are recorded in other income in the consolidated statements of comprehensive income (loss) during the year in which they occur.</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The Group’s cash and cash equivalents denominated in RMB amounted to US$1,606,471, US$46,426,074 and US$31,423,866 as of December 31, 2021, 2022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Group computes net income or loss per Class A and Class B ordinary share in accordance with </w:t>
      </w:r>
      <w:r>
        <w:rPr>
          <w:rFonts w:ascii="Times New Roman" w:cs="Times New Roman" w:eastAsia="Times New Roman" w:hAnsi="Times New Roman"/>
          <w:sz w:val="18"/>
          <w:szCs w:val="18"/>
          <w:i w:val="1"/>
          <w:iCs w:val="1"/>
          <w:color w:val="auto"/>
        </w:rPr>
        <w:t>ASC 260-10</w:t>
      </w:r>
      <w:r>
        <w:rPr>
          <w:rFonts w:ascii="Times New Roman" w:cs="Times New Roman" w:eastAsia="Times New Roman" w:hAnsi="Times New Roman"/>
          <w:sz w:val="18"/>
          <w:szCs w:val="18"/>
          <w:color w:val="auto"/>
        </w:rPr>
        <w:t xml:space="preserve"> Earnings Per Share: Overall, using the two 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8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 As the liquidation and dividend rights are identical, the net incomes are allocated on a proportionate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attributable to ordinary shareholders by the weighted average number of ordinary shares and contingently issuable shares outstanding during the period except that it does not include unvested restricted shares or repurchased ordinary shares subject to cancellation.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Diluted net income or loss per share is calculated by dividing net income or loss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 or loss per share calculation if their effects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exposure to credit risk associated with its trading and other activities is measured on an individual counterparty basis, as well as by groups of counterparties that share similar attributes. Concentrations of credit risk can be affected by changes in political, industry, or economic factors. To reduce the potential for risk concentration, credit limits are established and exposure is monitored in light of changing counterparty and market conditions. As of December 31, 2022 and 2023, the Group did not have any material concentrations of credit risk outside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no customer accounting for 10% or more of total revenues for the years ended December 31, 2021, 2022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relies on third parties for the execution and clearing of trade requests made by customers. In instances where these parties fail to perform their obligations, the Group may be temporarily unable to find alternative suppliers to satisfactorily deliver services to its customers in a timely manner, if at all.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2021, 2022 and 2023, 57.4%, 24.3% and 16.6% of its total net revenues were executed and cleared by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Group adopted FASB ASC Topic 326 – Financial Instruments – Credit Losses (“ASC Topic 326”) since January 1, 2020. The Group’s in-scope assets are primarily subject to collateral maintenance provisions, such as margin loans extended to consolidated accounts customers by the Group for which the Company elected to apply the practical expedient of reporting the difference between the fair value of collateral and the amortized cost for the in-scope assets as the allowance for current expected credit losses (“CECL”). The Group applied a discounted cash flow (“DCF”) method to determine the allowance for the New Zealand housing loans. The DCF method was based on relevant information about past events, current conditions and reasonable and supportable forecasts that affect the collectability of the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October 2023, FASB issued ASU 2023-06, Disclosure Improvements: Codification Amendments in Response to the SEC's Disclosure Update and Simplification Initiative, which modifies the disclosure or presentation requirements of various FASB topics in the Codification. The effective date for each amendment will be the date on which the SEC's removal of that related disclosure from Regulation S-K becomes effective, with early adoption prohibited. The Group does not expect adoption of this standard will have a material impact on its financial statements.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introducing key amendments to enhance disclosures in public entities reportable segments. Notable changes include the mandatory disclosure of significant segment expenses regularly provided to the chief operating decision maker (“CODM”), disclosure of other segment items, and requirements for consistency in reporting measures used by the CODM. The amendments in this update are effective for fiscal years beginning after December 15, 2023, and interim periods within fiscal years beginning after December 15, 2024. The Group is currently assessing the impact to its consolidated financial statements.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 is currently assessing the impact to its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currents assets consisted of the following:</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7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45"/>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data and IT service expenses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1,810,778</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2,741,338</w:t>
            </w:r>
          </w:p>
        </w:tc>
        <w:tc>
          <w:tcPr>
            <w:tcW w:w="0" w:type="dxa"/>
            <w:vAlign w:val="bottom"/>
          </w:tcPr>
          <w:p>
            <w:pPr>
              <w:spacing w:after="0"/>
              <w:rPr>
                <w:sz w:val="1"/>
                <w:szCs w:val="1"/>
                <w:color w:val="auto"/>
              </w:rPr>
            </w:pPr>
          </w:p>
        </w:tc>
      </w:tr>
      <w:tr>
        <w:trPr>
          <w:trHeight w:val="23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IPO distribution service and promotional and advertisement service receivables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2,518,877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2,707,740</w:t>
            </w:r>
          </w:p>
        </w:tc>
        <w:tc>
          <w:tcPr>
            <w:tcW w:w="0" w:type="dxa"/>
            <w:vAlign w:val="bottom"/>
          </w:tcPr>
          <w:p>
            <w:pPr>
              <w:spacing w:after="0"/>
              <w:rPr>
                <w:sz w:val="1"/>
                <w:szCs w:val="1"/>
                <w:color w:val="auto"/>
              </w:rPr>
            </w:pPr>
          </w:p>
        </w:tc>
      </w:tr>
      <w:tr>
        <w:trPr>
          <w:trHeight w:val="247"/>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Advances to employees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1,756,262</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2,190,106</w:t>
            </w:r>
          </w:p>
        </w:tc>
        <w:tc>
          <w:tcPr>
            <w:tcW w:w="0" w:type="dxa"/>
            <w:vAlign w:val="bottom"/>
          </w:tcPr>
          <w:p>
            <w:pPr>
              <w:spacing w:after="0"/>
              <w:rPr>
                <w:sz w:val="1"/>
                <w:szCs w:val="1"/>
                <w:color w:val="auto"/>
              </w:rPr>
            </w:pPr>
          </w:p>
        </w:tc>
      </w:tr>
      <w:tr>
        <w:trPr>
          <w:trHeight w:val="23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1,547,355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2,178,658</w:t>
            </w:r>
          </w:p>
        </w:tc>
        <w:tc>
          <w:tcPr>
            <w:tcW w:w="0" w:type="dxa"/>
            <w:vAlign w:val="bottom"/>
          </w:tcPr>
          <w:p>
            <w:pPr>
              <w:spacing w:after="0"/>
              <w:rPr>
                <w:sz w:val="1"/>
                <w:szCs w:val="1"/>
                <w:color w:val="auto"/>
              </w:rPr>
            </w:pPr>
          </w:p>
        </w:tc>
      </w:tr>
      <w:tr>
        <w:trPr>
          <w:trHeight w:val="247"/>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Wealth management service fees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1,694,339</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1,823,331</w:t>
            </w:r>
          </w:p>
        </w:tc>
        <w:tc>
          <w:tcPr>
            <w:tcW w:w="0" w:type="dxa"/>
            <w:vAlign w:val="bottom"/>
          </w:tcPr>
          <w:p>
            <w:pPr>
              <w:spacing w:after="0"/>
              <w:rPr>
                <w:sz w:val="1"/>
                <w:szCs w:val="1"/>
                <w:color w:val="auto"/>
              </w:rPr>
            </w:pPr>
          </w:p>
        </w:tc>
      </w:tr>
      <w:tr>
        <w:trPr>
          <w:trHeight w:val="23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professional service fees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740,171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1,008,341</w:t>
            </w:r>
          </w:p>
        </w:tc>
        <w:tc>
          <w:tcPr>
            <w:tcW w:w="0" w:type="dxa"/>
            <w:vAlign w:val="bottom"/>
          </w:tcPr>
          <w:p>
            <w:pPr>
              <w:spacing w:after="0"/>
              <w:rPr>
                <w:sz w:val="1"/>
                <w:szCs w:val="1"/>
                <w:color w:val="auto"/>
              </w:rPr>
            </w:pPr>
          </w:p>
        </w:tc>
      </w:tr>
      <w:tr>
        <w:trPr>
          <w:trHeight w:val="247"/>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784,871</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611,140</w:t>
            </w:r>
          </w:p>
        </w:tc>
        <w:tc>
          <w:tcPr>
            <w:tcW w:w="0" w:type="dxa"/>
            <w:vAlign w:val="bottom"/>
          </w:tcPr>
          <w:p>
            <w:pPr>
              <w:spacing w:after="0"/>
              <w:rPr>
                <w:sz w:val="1"/>
                <w:szCs w:val="1"/>
                <w:color w:val="auto"/>
              </w:rPr>
            </w:pPr>
          </w:p>
        </w:tc>
      </w:tr>
      <w:tr>
        <w:trPr>
          <w:trHeight w:val="23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receivables from term deposits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45,172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611,083</w:t>
            </w:r>
          </w:p>
        </w:tc>
        <w:tc>
          <w:tcPr>
            <w:tcW w:w="0" w:type="dxa"/>
            <w:vAlign w:val="bottom"/>
          </w:tcPr>
          <w:p>
            <w:pPr>
              <w:spacing w:after="0"/>
              <w:rPr>
                <w:sz w:val="1"/>
                <w:szCs w:val="1"/>
                <w:color w:val="auto"/>
              </w:rPr>
            </w:pPr>
          </w:p>
        </w:tc>
      </w:tr>
      <w:tr>
        <w:trPr>
          <w:trHeight w:val="247"/>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Input VAT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289,560</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569,813</w:t>
            </w:r>
          </w:p>
        </w:tc>
        <w:tc>
          <w:tcPr>
            <w:tcW w:w="0" w:type="dxa"/>
            <w:vAlign w:val="bottom"/>
          </w:tcPr>
          <w:p>
            <w:pPr>
              <w:spacing w:after="0"/>
              <w:rPr>
                <w:sz w:val="1"/>
                <w:szCs w:val="1"/>
                <w:color w:val="auto"/>
              </w:rPr>
            </w:pPr>
          </w:p>
        </w:tc>
      </w:tr>
      <w:tr>
        <w:trPr>
          <w:trHeight w:val="23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marketing expenses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805,230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552,565</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7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970,760</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2,942,065</w:t>
            </w:r>
          </w:p>
        </w:tc>
        <w:tc>
          <w:tcPr>
            <w:tcW w:w="0" w:type="dxa"/>
            <w:vAlign w:val="bottom"/>
          </w:tcPr>
          <w:p>
            <w:pPr>
              <w:spacing w:after="0"/>
              <w:rPr>
                <w:sz w:val="1"/>
                <w:szCs w:val="1"/>
                <w:color w:val="auto"/>
              </w:rPr>
            </w:pPr>
          </w:p>
        </w:tc>
      </w:tr>
      <w:tr>
        <w:trPr>
          <w:trHeight w:val="241"/>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220" w:type="dxa"/>
            <w:vAlign w:val="bottom"/>
          </w:tcPr>
          <w:p>
            <w:pPr>
              <w:spacing w:after="0"/>
              <w:rPr>
                <w:sz w:val="20"/>
                <w:szCs w:val="20"/>
                <w:color w:val="auto"/>
              </w:rPr>
            </w:pPr>
          </w:p>
        </w:tc>
        <w:tc>
          <w:tcPr>
            <w:tcW w:w="1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12,963,375</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17,936,180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20" w:type="dxa"/>
            <w:vAlign w:val="bottom"/>
            <w:vMerge w:val="restart"/>
          </w:tcPr>
          <w:p>
            <w:pPr>
              <w:ind w:left="5040"/>
              <w:spacing w:after="0"/>
              <w:rPr>
                <w:sz w:val="20"/>
                <w:szCs w:val="20"/>
                <w:color w:val="auto"/>
              </w:rPr>
            </w:pPr>
            <w:r>
              <w:rPr>
                <w:rFonts w:ascii="Times New Roman" w:cs="Times New Roman" w:eastAsia="Times New Roman" w:hAnsi="Times New Roman"/>
                <w:sz w:val="18"/>
                <w:szCs w:val="18"/>
                <w:color w:val="auto"/>
              </w:rPr>
              <w:t>F-28</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-1096645</wp:posOffset>
            </wp:positionV>
            <wp:extent cx="857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760" w:right="5160" w:hanging="752"/>
        <w:spacing w:after="0" w:line="472" w:lineRule="auto"/>
        <w:tabs>
          <w:tab w:leader="none" w:pos="446"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EQUIPMENT AND INTANGIBLE ASSETS, NET </w:t>
      </w:r>
      <w:r>
        <w:rPr>
          <w:rFonts w:ascii="Times New Roman" w:cs="Times New Roman" w:eastAsia="Times New Roman" w:hAnsi="Times New Roman"/>
          <w:sz w:val="17"/>
          <w:szCs w:val="17"/>
          <w:color w:val="auto"/>
        </w:rPr>
        <w:t>Property, equipment and intangible assets, net,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Pr>
          <w:p>
            <w:pPr>
              <w:spacing w:after="0"/>
              <w:rPr>
                <w:sz w:val="21"/>
                <w:szCs w:val="21"/>
                <w:color w:val="auto"/>
              </w:rPr>
            </w:pPr>
          </w:p>
        </w:tc>
        <w:tc>
          <w:tcPr>
            <w:tcW w:w="2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64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7"/>
        </w:trPr>
        <w:tc>
          <w:tcPr>
            <w:tcW w:w="764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6,897,897</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7,809,971</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798,279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873,192</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1,748,345</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1,657,837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1,346,872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1,379,299</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(4,481,910 )</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(6,525,834 )</w:t>
            </w: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6,309,483</w:t>
            </w:r>
          </w:p>
        </w:tc>
        <w:tc>
          <w:tcPr>
            <w:tcW w:w="24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5,194,465</w:t>
            </w:r>
          </w:p>
        </w:tc>
        <w:tc>
          <w:tcPr>
            <w:tcW w:w="100" w:type="dxa"/>
            <w:vAlign w:val="bottom"/>
            <w:tcBorders>
              <w:top w:val="single" w:sz="8" w:color="CFF0FC"/>
            </w:tcBorders>
          </w:tcPr>
          <w:p>
            <w:pPr>
              <w:spacing w:after="0"/>
              <w:rPr>
                <w:sz w:val="20"/>
                <w:szCs w:val="20"/>
                <w:color w:val="auto"/>
              </w:rPr>
            </w:pPr>
          </w:p>
        </w:tc>
      </w:tr>
      <w:tr>
        <w:trPr>
          <w:trHeight w:val="24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10,004,563</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10,004,563</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Trading right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128,180</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128,026</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5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1,057,434</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(56,685 )</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(70,085 )</w:t>
            </w: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10,194,582</w:t>
            </w:r>
          </w:p>
        </w:tc>
        <w:tc>
          <w:tcPr>
            <w:tcW w:w="24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11,235,078</w:t>
            </w:r>
          </w:p>
        </w:tc>
        <w:tc>
          <w:tcPr>
            <w:tcW w:w="100" w:type="dxa"/>
            <w:vAlign w:val="bottom"/>
            <w:tcBorders>
              <w:top w:val="single" w:sz="8" w:color="CFF0FC"/>
            </w:tcBorders>
          </w:tcPr>
          <w:p>
            <w:pPr>
              <w:spacing w:after="0"/>
              <w:rPr>
                <w:sz w:val="20"/>
                <w:szCs w:val="20"/>
                <w:color w:val="auto"/>
              </w:rPr>
            </w:pPr>
          </w:p>
        </w:tc>
      </w:tr>
      <w:tr>
        <w:trPr>
          <w:trHeight w:val="27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16,504,065</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16,429,543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-1293495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expenses for the years ended December 31, 2021, 2022 and 2023 were US$1,322,236, US$2,733,684 and US$2,823,534,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2021, 2022 and 2023 were US$16,732, US$15,460 and US$15,018, respectively.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estimated amortization expenses for the above intangible assets for future years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8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Amortization for Intangible Assets</w:t>
            </w:r>
          </w:p>
        </w:tc>
      </w:tr>
      <w:tr>
        <w:trPr>
          <w:trHeight w:val="241"/>
        </w:trPr>
        <w:tc>
          <w:tcPr>
            <w:tcW w:w="6440" w:type="dxa"/>
            <w:vAlign w:val="bottom"/>
          </w:tcPr>
          <w:p>
            <w:pPr>
              <w:spacing w:after="0"/>
              <w:rPr>
                <w:sz w:val="20"/>
                <w:szCs w:val="20"/>
                <w:color w:val="auto"/>
              </w:rPr>
            </w:pPr>
          </w:p>
        </w:tc>
        <w:tc>
          <w:tcPr>
            <w:tcW w:w="48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15,018</w:t>
            </w:r>
          </w:p>
        </w:tc>
      </w:tr>
      <w:tr>
        <w:trPr>
          <w:trHeight w:val="25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15,018</w:t>
            </w:r>
          </w:p>
        </w:tc>
      </w:tr>
      <w:tr>
        <w:trPr>
          <w:trHeight w:val="25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15,018</w:t>
            </w:r>
          </w:p>
        </w:tc>
      </w:tr>
      <w:tr>
        <w:trPr>
          <w:trHeight w:val="25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45,054</w:t>
            </w:r>
          </w:p>
        </w:tc>
      </w:tr>
      <w:tr>
        <w:trPr>
          <w:trHeight w:val="20"/>
        </w:trPr>
        <w:tc>
          <w:tcPr>
            <w:tcW w:w="644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years ended December 31, 2022 and 2023.</w:t>
      </w:r>
    </w:p>
    <w:p>
      <w:pPr>
        <w:spacing w:after="0" w:line="12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28575</wp:posOffset>
            </wp:positionV>
            <wp:extent cx="25971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ind w:left="7900"/>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28575</wp:posOffset>
            </wp:positionV>
            <wp:extent cx="259715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0" w:lineRule="exact"/>
        <w:rPr>
          <w:sz w:val="20"/>
          <w:szCs w:val="20"/>
          <w:color w:val="auto"/>
        </w:rPr>
      </w:pPr>
    </w:p>
    <w:p>
      <w:pPr>
        <w:ind w:left="7920"/>
        <w:spacing w:after="0"/>
        <w:tabs>
          <w:tab w:leader="none" w:pos="1002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2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2,492,668</w:t>
            </w:r>
          </w:p>
        </w:tc>
      </w:tr>
      <w:tr>
        <w:trPr>
          <w:trHeight w:val="241"/>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2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2,492,668</w:t>
            </w:r>
          </w:p>
        </w:tc>
      </w:tr>
      <w:tr>
        <w:trPr>
          <w:trHeight w:val="20"/>
        </w:trPr>
        <w:tc>
          <w:tcPr>
            <w:tcW w:w="7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543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2022 and 2023, there had not been any accumulated goodwill impairment provided.</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2,492,668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26035</wp:posOffset>
            </wp:positionV>
            <wp:extent cx="124333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2,492,668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28575</wp:posOffset>
            </wp:positionV>
            <wp:extent cx="124333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45720</wp:posOffset>
            </wp:positionV>
            <wp:extent cx="124333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2">
            <w:col w:w="9680" w:space="720"/>
            <w:col w:w="840"/>
          </w:cols>
          <w:pgMar w:left="320" w:top="121" w:right="3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3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3"/>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Equity securities without readily determinable fair value</w:t>
            </w:r>
          </w:p>
        </w:tc>
        <w:tc>
          <w:tcPr>
            <w:tcW w:w="3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3"/>
        </w:trPr>
        <w:tc>
          <w:tcPr>
            <w:tcW w:w="420" w:type="dxa"/>
            <w:vAlign w:val="bottom"/>
          </w:tcPr>
          <w:p>
            <w:pPr>
              <w:spacing w:after="0"/>
              <w:rPr>
                <w:sz w:val="24"/>
                <w:szCs w:val="24"/>
                <w:color w:val="auto"/>
              </w:rPr>
            </w:pPr>
          </w:p>
        </w:tc>
        <w:tc>
          <w:tcPr>
            <w:tcW w:w="7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Group had the following equity securities without readily determinable fair value: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4"/>
        </w:trPr>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7780" w:type="dxa"/>
            <w:vAlign w:val="bottom"/>
            <w:gridSpan w:val="3"/>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TradeUP Acquisition Corp.(“UPTDU”) </w:t>
            </w:r>
            <w:r>
              <w:rPr>
                <w:rFonts w:ascii="Times New Roman" w:cs="Times New Roman" w:eastAsia="Times New Roman" w:hAnsi="Times New Roman"/>
                <w:sz w:val="24"/>
                <w:szCs w:val="24"/>
                <w:color w:val="auto"/>
                <w:vertAlign w:val="superscript"/>
              </w:rPr>
              <w:t>(a)</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314,700</w:t>
            </w: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Fortune Rise Acquisition Corporation (“FRLAU”) </w:t>
            </w:r>
            <w:r>
              <w:rPr>
                <w:rFonts w:ascii="Times New Roman" w:cs="Times New Roman" w:eastAsia="Times New Roman" w:hAnsi="Times New Roman"/>
                <w:sz w:val="24"/>
                <w:szCs w:val="24"/>
                <w:color w:val="auto"/>
                <w:vertAlign w:val="superscript"/>
              </w:rPr>
              <w:t>(b)</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200,237</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200,237</w:t>
            </w:r>
          </w:p>
        </w:tc>
      </w:tr>
      <w:tr>
        <w:trPr>
          <w:trHeight w:val="243"/>
        </w:trPr>
        <w:tc>
          <w:tcPr>
            <w:tcW w:w="778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Shenzhen Guru Club Information Technology Group Co., LTD. (“Guru”) </w:t>
            </w:r>
            <w:r>
              <w:rPr>
                <w:rFonts w:ascii="Times New Roman" w:cs="Times New Roman" w:eastAsia="Times New Roman" w:hAnsi="Times New Roman"/>
                <w:sz w:val="24"/>
                <w:szCs w:val="24"/>
                <w:color w:val="auto"/>
                <w:vertAlign w:val="superscript"/>
              </w:rPr>
              <w:t>(c)</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1,449,864</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1,408,472</w:t>
            </w:r>
          </w:p>
        </w:tc>
      </w:tr>
      <w:tr>
        <w:trPr>
          <w:trHeight w:val="243"/>
        </w:trPr>
        <w:tc>
          <w:tcPr>
            <w:tcW w:w="77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Shanghai Realize Investment Consulting Co., Ltd. (“Realize”) </w:t>
            </w:r>
            <w:r>
              <w:rPr>
                <w:rFonts w:ascii="Times New Roman" w:cs="Times New Roman" w:eastAsia="Times New Roman" w:hAnsi="Times New Roman"/>
                <w:sz w:val="24"/>
                <w:szCs w:val="24"/>
                <w:color w:val="auto"/>
                <w:vertAlign w:val="superscript"/>
              </w:rPr>
              <w:t>(d)</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869,918</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845,082</w:t>
            </w:r>
          </w:p>
        </w:tc>
      </w:tr>
      <w:tr>
        <w:trPr>
          <w:trHeight w:val="243"/>
        </w:trPr>
        <w:tc>
          <w:tcPr>
            <w:tcW w:w="778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Shanghai Yisong Consulting Management Co., LTD (“Yisong”) </w:t>
            </w:r>
            <w:r>
              <w:rPr>
                <w:rFonts w:ascii="Times New Roman" w:cs="Times New Roman" w:eastAsia="Times New Roman" w:hAnsi="Times New Roman"/>
                <w:sz w:val="24"/>
                <w:szCs w:val="24"/>
                <w:color w:val="auto"/>
                <w:vertAlign w:val="superscript"/>
              </w:rPr>
              <w:t>(e)</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376,965</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366,202</w:t>
            </w:r>
          </w:p>
        </w:tc>
      </w:tr>
      <w:tr>
        <w:trPr>
          <w:trHeight w:val="243"/>
        </w:trPr>
        <w:tc>
          <w:tcPr>
            <w:tcW w:w="77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Feutune Light Acquisition Corporation (“FLFVU”) </w:t>
            </w:r>
            <w:r>
              <w:rPr>
                <w:rFonts w:ascii="Times New Roman" w:cs="Times New Roman" w:eastAsia="Times New Roman" w:hAnsi="Times New Roman"/>
                <w:sz w:val="24"/>
                <w:szCs w:val="24"/>
                <w:color w:val="auto"/>
                <w:vertAlign w:val="superscript"/>
              </w:rPr>
              <w:t>(f)</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7780" w:type="dxa"/>
            <w:vAlign w:val="bottom"/>
            <w:tcBorders>
              <w:bottom w:val="single" w:sz="8" w:color="CFF0FC"/>
            </w:tcBorders>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Mainnet Group Holdings (“Mainnet”) </w:t>
            </w:r>
            <w:r>
              <w:rPr>
                <w:rFonts w:ascii="Times New Roman" w:cs="Times New Roman" w:eastAsia="Times New Roman" w:hAnsi="Times New Roman"/>
                <w:sz w:val="24"/>
                <w:szCs w:val="24"/>
                <w:color w:val="auto"/>
                <w:vertAlign w:val="superscript"/>
              </w:rPr>
              <w:t>(g)</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3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3,411,684</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3,519,993</w:t>
            </w:r>
          </w:p>
        </w:tc>
      </w:tr>
      <w:tr>
        <w:trPr>
          <w:trHeight w:val="20"/>
        </w:trPr>
        <w:tc>
          <w:tcPr>
            <w:tcW w:w="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-187960</wp:posOffset>
            </wp:positionV>
            <wp:extent cx="774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21774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45" w:lineRule="exact"/>
        <w:rPr>
          <w:sz w:val="20"/>
          <w:szCs w:val="20"/>
          <w:color w:val="auto"/>
        </w:rPr>
      </w:pPr>
    </w:p>
    <w:p>
      <w:pPr>
        <w:jc w:val="both"/>
        <w:ind w:left="760" w:hanging="378"/>
        <w:spacing w:after="0" w:line="254"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UPTDU is a NASDAQ listed blank check company formed for the purpose of effecting a merger, capital stock exchange, asset acquisition, stock purchase, reorganization or similar business combination with one or more businesses. In February and July 2021, the Group respectively acquired 230,000 founder shares (8,500 of which was forfeited in September 2021) and 44,040 private shares issued by UPTDU for a total purchase consideration of US$445,400. At the end of 2022, the shares owned by the Group took up 2.32% equity interests of UPTDU with no significant impacts. On September 29, 2023, UPTDU completed the business combination with Estrella Biopharma, Inc., a Delaware corporation. After the business combination, the founder shares and private shares the Group held were converted into listed common shares, considering the Group does not control nor has ability to exercise significant influence over the operating and financial policies of the investee, as such the Group recognized the investment as financial instruments held, at fair value.</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FRLAU is a NASDAQ listed blank check company formed for the purpose of effecting a merger, capital stock exchange, asset acquisition, stock purchase, reorganization or similar business combination with one or more businesses. In November 2021, the Group acquired 122,000 founder shares, 20,000 private shares and 60,000 representative shares issued by FRLAU for a total purchase consideration of US$201,248. After the sale of 98,800 founder shares in December 2022, the Group held 0.8% equity interests of FRLAU with no significant impacts. The founder shares, private shares and representative shares are each subject to transfer restrictions pursuant to lock-up provisions. No observable price change has been identified and no fair value change was recorded for the years ended December 31, 2022 and 2023.</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the Group acquired 1.0% equity interests of Guru with no significant impacts, formerly known as Tibet Gelonghui Information Technology Co., LTD., for a purchase consideration of US$1,536,972 (RMB10,000,000). Guru is principally engaged in information technology development, technical consultation and technical services. No observable price change has been identified and no fair value change was recorded for the years ended December 31, 2022 and 2023. The change of balance was foreign exchange difference.</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the Group acquired 1.5% equity interests of Realize for a purchase consideration of US$926,183 (RMB6,000,000). Realize is principally engaged in ESOP advisory and management services. No observable price change has been identified and no fair value change was recorded for the years ended December 31, 2022 and 2023. The change of balance was foreign exchange difference.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Group acquired 5% equity interests of Yisong for a purchase consideration of US$400,962 (RMB2,600,000). Yisong is principally engaged in consulting and financial advisory services. No observable price change has been identified and no fair value change was recorded for the years ended December 31, 2022 and 2023. The change of balance was foreign exchange difference.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securities without readily determinable fair value (Continued)</w:t>
      </w:r>
    </w:p>
    <w:p>
      <w:pPr>
        <w:spacing w:after="0" w:line="229" w:lineRule="exact"/>
        <w:rPr>
          <w:sz w:val="20"/>
          <w:szCs w:val="20"/>
          <w:color w:val="auto"/>
        </w:rPr>
      </w:pPr>
    </w:p>
    <w:p>
      <w:pPr>
        <w:jc w:val="both"/>
        <w:ind w:left="760" w:hanging="378"/>
        <w:spacing w:after="0" w:line="256"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FLFVU is a NASDAQ listed blank check company formed for the purpose of entering into a merger, capital stock exchange, asset acquisition, stock purchase, reorganization or similar business combination with one or more businesses. In June 2022, the Group acquired 20,000 private shares and 60,000 representative shares issued by FLFVU for a total purchase consideration of US$200,000, which accounted for 0.63% equity interests of FLFVU with no significant impacts. The representative shares are identical to the public shares except that the representative has agreed not to transfer, assign or sell any such representative shares until the completion of initial business combination. No observable price change has been identified and no fair value change was recorded for the years ended December 31, 2022 and 2023.</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Group acquired 2.0% equity interests of Mainnet for a purchase consideration of US$500,000. Mainnet has formed multiple lines of businesses including wealth management, fund management, a global open platform, and FinTech arm, providing high-net-worth customers with all-rounded financial services. No observable price change has been identified and no fair value change was recorded for the year ended December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Available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for</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sale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7780" w:type="dxa"/>
            <w:vAlign w:val="bottom"/>
            <w:gridSpan w:val="3"/>
          </w:tcPr>
          <w:p>
            <w:pPr>
              <w:ind w:left="760"/>
              <w:spacing w:after="0" w:line="207" w:lineRule="exact"/>
              <w:rPr>
                <w:sz w:val="20"/>
                <w:szCs w:val="20"/>
                <w:color w:val="auto"/>
              </w:rPr>
            </w:pPr>
            <w:r>
              <w:rPr>
                <w:rFonts w:ascii="Times New Roman" w:cs="Times New Roman" w:eastAsia="Times New Roman" w:hAnsi="Times New Roman"/>
                <w:sz w:val="18"/>
                <w:szCs w:val="18"/>
                <w:color w:val="auto"/>
              </w:rPr>
              <w:t>The Group had the following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7"/>
        </w:trPr>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20"/>
                <w:szCs w:val="20"/>
                <w:color w:val="auto"/>
              </w:rPr>
            </w:pPr>
          </w:p>
        </w:tc>
        <w:tc>
          <w:tcPr>
            <w:tcW w:w="16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7780" w:type="dxa"/>
            <w:vAlign w:val="bottom"/>
            <w:tcBorders>
              <w:bottom w:val="single" w:sz="8" w:color="CFF0FC"/>
            </w:tcBorders>
            <w:gridSpan w:val="3"/>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Alphalion Technology Holding Limited (“Alphalion”) </w:t>
            </w:r>
            <w:r>
              <w:rPr>
                <w:rFonts w:ascii="Times New Roman" w:cs="Times New Roman" w:eastAsia="Times New Roman" w:hAnsi="Times New Roman"/>
                <w:sz w:val="24"/>
                <w:szCs w:val="24"/>
                <w:color w:val="auto"/>
                <w:vertAlign w:val="superscript"/>
              </w:rPr>
              <w:t>(h)</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4,516,815</w:t>
            </w:r>
          </w:p>
        </w:tc>
        <w:tc>
          <w:tcPr>
            <w:tcW w:w="1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4,066,490</w:t>
            </w:r>
          </w:p>
        </w:tc>
      </w:tr>
      <w:tr>
        <w:trPr>
          <w:trHeight w:val="234"/>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4,516,815</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4,066,490</w:t>
            </w:r>
          </w:p>
        </w:tc>
      </w:tr>
      <w:tr>
        <w:trPr>
          <w:trHeight w:val="20"/>
        </w:trPr>
        <w:tc>
          <w:tcPr>
            <w:tcW w:w="2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-342265</wp:posOffset>
            </wp:positionV>
            <wp:extent cx="857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760" w:hanging="378"/>
        <w:spacing w:after="0" w:line="255"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the Group entered into a series of agreements to covert its short-term interest-free loans to Alphalion Technology Holding Limited and its affiliates amounted at US$3,060,113 into 25% equity interest of Alphalion (Note 16). Alphalion is principally engaged in IT services, including software maintenance, application service and data processing. The investment was classified as available-for-sale securities with no contractual maturity date as the Group determined that the preferred shares were debt securities due to the redemption option available to investors and measured the investment subsequently at fair value. US$1,899,605 gains, US$502,903 and US$450,325 losses of fair value were recorded for the years ended December 31, 2021, 2022 and 2023, respectively. Nil allowance for credit losses was recorded for the years ended December 31, 2021, 2022 and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4"/>
        </w:trPr>
        <w:tc>
          <w:tcPr>
            <w:tcW w:w="4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9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4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4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15,761,463</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19,043,496</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and non-income-based taxes payables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9,389,054</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7,319,738</w:t>
            </w:r>
          </w:p>
        </w:tc>
      </w:tr>
      <w:tr>
        <w:trPr>
          <w:trHeight w:val="247"/>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expenses</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2,445,075</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4,300,517</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4,182,606</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3,863,879</w:t>
            </w:r>
          </w:p>
        </w:tc>
      </w:tr>
      <w:tr>
        <w:trPr>
          <w:trHeight w:val="247"/>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from customers</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1,904,019</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3,425,224</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data and IT service expenses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1,467,007</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1,301,092</w:t>
            </w:r>
          </w:p>
        </w:tc>
      </w:tr>
      <w:tr>
        <w:trPr>
          <w:trHeight w:val="247"/>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due to employees for sale of their shares exercised under the share incentive plan</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1,368,771</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2,702,901</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1,259,754</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425,099</w:t>
            </w:r>
          </w:p>
        </w:tc>
      </w:tr>
      <w:tr>
        <w:trPr>
          <w:trHeight w:val="281"/>
        </w:trPr>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920" w:type="dxa"/>
            <w:vAlign w:val="bottom"/>
            <w:shd w:val="clear" w:color="auto" w:fill="CFF0FC"/>
          </w:tcPr>
          <w:p>
            <w:pPr>
              <w:spacing w:after="0"/>
              <w:rPr>
                <w:sz w:val="24"/>
                <w:szCs w:val="24"/>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37,777,749</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42,381,946</w:t>
            </w:r>
          </w:p>
        </w:tc>
      </w:tr>
      <w:tr>
        <w:trPr>
          <w:trHeight w:val="628"/>
        </w:trPr>
        <w:tc>
          <w:tcPr>
            <w:tcW w:w="420" w:type="dxa"/>
            <w:vAlign w:val="bottom"/>
            <w:tcBorders>
              <w:top w:val="single" w:sz="8" w:color="CFF0FC"/>
            </w:tcBorders>
          </w:tcPr>
          <w:p>
            <w:pPr>
              <w:spacing w:after="0"/>
              <w:rPr>
                <w:sz w:val="24"/>
                <w:szCs w:val="24"/>
                <w:color w:val="auto"/>
              </w:rPr>
            </w:pPr>
          </w:p>
        </w:tc>
        <w:tc>
          <w:tcPr>
            <w:tcW w:w="7920" w:type="dxa"/>
            <w:vAlign w:val="bottom"/>
            <w:tcBorders>
              <w:top w:val="single" w:sz="8" w:color="CFF0FC"/>
            </w:tcBorders>
          </w:tcPr>
          <w:p>
            <w:pPr>
              <w:ind w:left="5040"/>
              <w:spacing w:after="0"/>
              <w:rPr>
                <w:sz w:val="20"/>
                <w:szCs w:val="20"/>
                <w:color w:val="auto"/>
              </w:rPr>
            </w:pPr>
            <w:r>
              <w:rPr>
                <w:rFonts w:ascii="Times New Roman" w:cs="Times New Roman" w:eastAsia="Times New Roman" w:hAnsi="Times New Roman"/>
                <w:sz w:val="18"/>
                <w:szCs w:val="18"/>
                <w:color w:val="auto"/>
              </w:rPr>
              <w:t>F-32</w:t>
            </w: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-933450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-916940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its income or capital gains.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 In addition, the EIT Law and its implementing rules permit qualified “High and New Technologies Enterprise” (the “HNTE”) to enjoy a reduced 15% EIT income tax rate. The HNTE certificate is effective for a period of three years. Certain PRC subsidiaries, VIEs and VIEs’ subsidiaries, including Beijing U-Tiger Business, Beijing Yixin and Beijing U-Tiger Network, are qualified HNTEs and enjoy a reduced income tax rate of 15% for the three years presented, and Hangzhou U-Tiger, Guangzhou U Tiger and Beijing Xiangshang are qualified HNTEs and enjoy a reduced income tax rate of 15% for the years ended December 31, 2022 and 2023. An entity could re-apply for the HNTE certificate when the prior certificate expires. Historically, all companies successfully re-applied for the certificates when the prior once expired. The Group’s other subsidiaries are subject to income tax rate of 25%, according to EIT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TBNZ and TFNZ are located in New Zealand and are subject to an income tax rate of 28% for taxable income earned in New Zealand.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Hong Kong are subject to a profits tax rate of 8.25% on assessable profits up to HK$2,000,000 and 16.5% on any part of assessable profits over HK$2,000,000.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26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the USA are subject to a federal income tax rate of 21% for taxable income earned in the USA. Taxable income apportioned to New York, New York City, and New Jersey is also subject to tax at statutory tax rates of 6.5%, 8.85%, and 11.5%,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Group’s subsidiaries incorporated in Singapore are subject to an income tax rate of 17% for taxable income earned in Singapore.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Group’s subsidiaries incorporated in Australia are subject to an income tax rate of 30% for taxable income earned in Australia.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(Continued)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4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r>
      <w:tr>
        <w:trPr>
          <w:trHeight w:val="241"/>
        </w:trPr>
        <w:tc>
          <w:tcPr>
            <w:tcW w:w="4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6"/>
        </w:trPr>
        <w:tc>
          <w:tcPr>
            <w:tcW w:w="44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1"/>
                <w:szCs w:val="21"/>
                <w:color w:val="auto"/>
              </w:rPr>
            </w:pPr>
          </w:p>
        </w:tc>
        <w:tc>
          <w:tcPr>
            <w:tcW w:w="20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50"/>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Cayman Islands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2,442,082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(2,399,651 )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(700,677 )</w:t>
            </w: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6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21,320,470</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9,105,225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12,562,152</w:t>
            </w:r>
          </w:p>
        </w:tc>
      </w:tr>
      <w:tr>
        <w:trPr>
          <w:trHeight w:val="243"/>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7"/>
              </w:rPr>
              <w:t>Other</w:t>
            </w:r>
          </w:p>
        </w:tc>
        <w:tc>
          <w:tcPr>
            <w:tcW w:w="6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(4,708,080 )</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(4,673,789 )</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34,132,262</w:t>
            </w:r>
          </w:p>
        </w:tc>
      </w:t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before income taxes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19,054,472</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2,031,785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45,993,737</w:t>
            </w: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-187960</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income tax expense allocated to continuing operations, all of which was incurred outside the Cayman Islands,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40" w:type="dxa"/>
            <w:vAlign w:val="bottom"/>
            <w:tcBorders>
              <w:bottom w:val="single" w:sz="8" w:color="auto"/>
            </w:tcBorders>
          </w:tcPr>
          <w:p>
            <w:pPr>
              <w:spacing w:after="0"/>
              <w:rPr>
                <w:sz w:val="21"/>
                <w:szCs w:val="21"/>
                <w:color w:val="auto"/>
              </w:rPr>
            </w:pPr>
          </w:p>
        </w:tc>
      </w:tr>
      <w:tr>
        <w:trPr>
          <w:trHeight w:val="241"/>
        </w:trPr>
        <w:tc>
          <w:tcPr>
            <w:tcW w:w="656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6560" w:type="dxa"/>
            <w:vAlign w:val="bottom"/>
          </w:tcPr>
          <w:p>
            <w:pPr>
              <w:spacing w:after="0"/>
              <w:rPr>
                <w:sz w:val="20"/>
                <w:szCs w:val="20"/>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(5,026,081 )</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(5,552,745 )</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(9,779,815 )</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662,310</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1,264,080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(3,206,495 )</w:t>
            </w:r>
          </w:p>
        </w:tc>
      </w:tr>
      <w:tr>
        <w:trPr>
          <w:trHeight w:val="278"/>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(4,363,771 )</w:t>
            </w:r>
          </w:p>
        </w:tc>
        <w:tc>
          <w:tcPr>
            <w:tcW w:w="1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(4,288,665 )</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enterprise income tax law also imposes a withholding income tax on dividends distributed by a foreign investment enterprise ("FIE") to its immediate holding company outside of the PRC. According to the arrangement between Chinese mainland and HKSAR, dividends paid by an FIE in Chinese mainland to its immediate holding company in HKSAR will be subject to withholding tax at a rate of no more than 5%. Dividends paid from US subsidiaries to their parent company are subject to US withholding tax at a rate of 30%. Cash dividends paid by a New Zealand incorporated company is subject to 5% withholding under the New Zealand-Singapore Double Tax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does not intend to have any of its subsidiaries and VIEs located in jurisdictions that would assess a tax on a distribution distributed any accumulated earnings in the foreseeable future, but rather expects that such profits will be indefinitely reinvested by such subsidiaries and VIEs for their respective local operations. Accordingly, no liability for withholding tax was recorded as of December 31, 2022 and 2023. Undistributed earnings of such subsidiaries and VIEs amounted to US$84.1 million and US$141.6 million and the unrecognized deferred tax liability related to such earnings amounted to US$5.5 million and US$12.8 million as of December 31, 2022 and December 31, 2023, respectively.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and consolidated VIEs located in the PRC, HKSAR, New Zealand, the USA, Singapore and other jurisdictions are open to tax examination for the period from its inception until the year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significant components of the Group’s deferred tax assets and liabilities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1"/>
                <w:szCs w:val="21"/>
                <w:color w:val="auto"/>
              </w:rPr>
            </w:pPr>
          </w:p>
        </w:tc>
      </w:tr>
      <w:tr>
        <w:trPr>
          <w:trHeight w:val="241"/>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36"/>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19,642,694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23,177,049</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1,666,221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2,555,382</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2,767,408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1,933,001</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Withholding tax credit carryforwards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1,072,899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1,042,268</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 carryforwards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973,640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961,816</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415,472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479,475</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184,822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425,174</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242,233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331,043</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144,986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140,847</w:t>
            </w:r>
          </w:p>
        </w:tc>
      </w:tr>
      <w:tr>
        <w:trPr>
          <w:trHeight w:val="241"/>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27,110,375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31,046,055</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11,307,489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18,262,801</w:t>
            </w:r>
          </w:p>
        </w:tc>
      </w:tr>
      <w:tr>
        <w:trPr>
          <w:trHeight w:val="238"/>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0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15,802,886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12,783,254</w:t>
            </w:r>
          </w:p>
        </w:tc>
      </w:tr>
      <w:tr>
        <w:trPr>
          <w:trHeight w:val="239"/>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1,788,555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1,788,555</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2,661,362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1,742,996</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290,445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1,658,536</w:t>
            </w:r>
          </w:p>
        </w:tc>
      </w:tr>
      <w:tr>
        <w:trPr>
          <w:trHeight w:val="238"/>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4,740,362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5,190,087</w:t>
            </w:r>
          </w:p>
        </w:tc>
      </w:tr>
      <w:tr>
        <w:trPr>
          <w:trHeight w:val="239"/>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13,122,272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10,990,998</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2,059,748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3,397,831</w:t>
            </w:r>
          </w:p>
        </w:tc>
      </w:tr>
      <w:tr>
        <w:trPr>
          <w:trHeight w:val="329"/>
        </w:trPr>
        <w:tc>
          <w:tcPr>
            <w:tcW w:w="6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movement of the valuation allowance is as follows: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6560" w:type="dxa"/>
            <w:vAlign w:val="bottom"/>
          </w:tcPr>
          <w:p>
            <w:pPr>
              <w:spacing w:after="0"/>
              <w:rPr>
                <w:sz w:val="24"/>
                <w:szCs w:val="24"/>
                <w:color w:val="auto"/>
              </w:rPr>
            </w:pPr>
          </w:p>
        </w:tc>
        <w:tc>
          <w:tcPr>
            <w:tcW w:w="4680" w:type="dxa"/>
            <w:vAlign w:val="bottom"/>
            <w:tcBorders>
              <w:bottom w:val="single" w:sz="8" w:color="auto"/>
            </w:tcBorders>
            <w:gridSpan w:val="9"/>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41"/>
        </w:trPr>
        <w:tc>
          <w:tcPr>
            <w:tcW w:w="6560" w:type="dxa"/>
            <w:vAlign w:val="bottom"/>
          </w:tcPr>
          <w:p>
            <w:pPr>
              <w:spacing w:after="0"/>
              <w:rPr>
                <w:sz w:val="20"/>
                <w:szCs w:val="20"/>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20"/>
                <w:szCs w:val="20"/>
                <w:color w:val="auto"/>
              </w:rPr>
            </w:pP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560" w:type="dxa"/>
            <w:vAlign w:val="bottom"/>
          </w:tcPr>
          <w:p>
            <w:pPr>
              <w:spacing w:after="0"/>
              <w:rPr>
                <w:sz w:val="20"/>
                <w:szCs w:val="20"/>
                <w:color w:val="auto"/>
              </w:rPr>
            </w:pPr>
          </w:p>
        </w:tc>
        <w:tc>
          <w:tcPr>
            <w:tcW w:w="150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8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4,000,159</w:t>
            </w:r>
          </w:p>
        </w:tc>
        <w:tc>
          <w:tcPr>
            <w:tcW w:w="16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5,224,095</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11,307,489</w:t>
            </w:r>
          </w:p>
        </w:tc>
      </w:tr>
      <w:tr>
        <w:trPr>
          <w:trHeight w:val="23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2,814,445</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7,192,373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7,372,595</w:t>
            </w:r>
          </w:p>
        </w:tc>
      </w:tr>
      <w:tr>
        <w:trPr>
          <w:trHeight w:val="247"/>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Reversals of valuation allowance</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(1,628,176 )</w:t>
            </w:r>
          </w:p>
        </w:tc>
        <w:tc>
          <w:tcPr>
            <w:tcW w:w="1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(858,222 )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(187,483 )</w:t>
            </w:r>
          </w:p>
        </w:tc>
      </w:tr>
      <w:tr>
        <w:trPr>
          <w:trHeight w:val="23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37,667</w:t>
            </w:r>
          </w:p>
        </w:tc>
        <w:tc>
          <w:tcPr>
            <w:tcW w:w="1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(250,757 )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(229,800 )</w:t>
            </w:r>
          </w:p>
        </w:tc>
      </w:tr>
      <w:tr>
        <w:trPr>
          <w:trHeight w:val="23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the valuation allowance</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1,223,936</w:t>
            </w:r>
          </w:p>
        </w:tc>
        <w:tc>
          <w:tcPr>
            <w:tcW w:w="1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6,083,394</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6,955,312</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5,224,095</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11,307,489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18,262,801</w:t>
            </w:r>
          </w:p>
        </w:tc>
      </w:tr>
      <w:tr>
        <w:trPr>
          <w:trHeight w:val="20"/>
        </w:trPr>
        <w:tc>
          <w:tcPr>
            <w:tcW w:w="6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-3136900</wp:posOffset>
            </wp:positionV>
            <wp:extent cx="8572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-2193925</wp:posOffset>
            </wp:positionV>
            <wp:extent cx="857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7747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left="660" w:right="420"/>
        <w:spacing w:after="0" w:line="532" w:lineRule="auto"/>
        <w:rPr>
          <w:sz w:val="20"/>
          <w:szCs w:val="20"/>
          <w:color w:val="auto"/>
        </w:rPr>
      </w:pPr>
      <w:r>
        <w:rPr>
          <w:rFonts w:ascii="Times New Roman" w:cs="Times New Roman" w:eastAsia="Times New Roman" w:hAnsi="Times New Roman"/>
          <w:sz w:val="18"/>
          <w:szCs w:val="18"/>
          <w:color w:val="auto"/>
        </w:rPr>
        <w:t>As of December 31, 2022 and 2023, the Group had net operating loss carryforwards of US$118,085,461 and US$137,570,765, respectively.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60" w:type="dxa"/>
            <w:vAlign w:val="bottom"/>
          </w:tcPr>
          <w:p>
            <w:pPr>
              <w:spacing w:after="0"/>
              <w:rPr>
                <w:sz w:val="17"/>
                <w:szCs w:val="17"/>
                <w:color w:val="auto"/>
              </w:rPr>
            </w:pPr>
          </w:p>
        </w:tc>
      </w:tr>
      <w:tr>
        <w:trPr>
          <w:trHeight w:val="453"/>
        </w:trPr>
        <w:tc>
          <w:tcPr>
            <w:tcW w:w="1280" w:type="dxa"/>
            <w:vAlign w:val="bottom"/>
            <w:tcBorders>
              <w:top w:val="single" w:sz="8" w:color="0000FF"/>
            </w:tcBorders>
          </w:tcPr>
          <w:p>
            <w:pPr>
              <w:spacing w:after="0"/>
              <w:rPr>
                <w:sz w:val="24"/>
                <w:szCs w:val="24"/>
                <w:color w:val="auto"/>
              </w:rPr>
            </w:pPr>
          </w:p>
        </w:tc>
        <w:tc>
          <w:tcPr>
            <w:tcW w:w="79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20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9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20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(All amounts in US$, except for share, per share data, or otherwise noted)</w:t>
            </w:r>
          </w:p>
        </w:tc>
        <w:tc>
          <w:tcPr>
            <w:tcW w:w="2060" w:type="dxa"/>
            <w:vAlign w:val="bottom"/>
          </w:tcPr>
          <w:p>
            <w:pPr>
              <w:spacing w:after="0"/>
              <w:rPr>
                <w:sz w:val="24"/>
                <w:szCs w:val="24"/>
                <w:color w:val="auto"/>
              </w:rPr>
            </w:pPr>
          </w:p>
        </w:tc>
      </w:tr>
      <w:tr>
        <w:trPr>
          <w:trHeight w:val="47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tc>
        <w:tc>
          <w:tcPr>
            <w:tcW w:w="2060" w:type="dxa"/>
            <w:vAlign w:val="bottom"/>
          </w:tcPr>
          <w:p>
            <w:pPr>
              <w:spacing w:after="0"/>
              <w:rPr>
                <w:sz w:val="24"/>
                <w:szCs w:val="24"/>
                <w:color w:val="auto"/>
              </w:rPr>
            </w:pPr>
          </w:p>
        </w:tc>
      </w:tr>
      <w:tr>
        <w:trPr>
          <w:trHeight w:val="432"/>
        </w:trPr>
        <w:tc>
          <w:tcPr>
            <w:tcW w:w="9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expiration status of net operating loss carryforwards as of December 31, 2023 is listed below.</w:t>
            </w:r>
          </w:p>
        </w:tc>
        <w:tc>
          <w:tcPr>
            <w:tcW w:w="2060" w:type="dxa"/>
            <w:vAlign w:val="bottom"/>
          </w:tcPr>
          <w:p>
            <w:pPr>
              <w:spacing w:after="0"/>
              <w:rPr>
                <w:sz w:val="24"/>
                <w:szCs w:val="24"/>
                <w:color w:val="auto"/>
              </w:rPr>
            </w:pPr>
          </w:p>
        </w:tc>
      </w:tr>
      <w:tr>
        <w:trPr>
          <w:trHeight w:val="35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2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37"/>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9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2,100,039</w:t>
            </w:r>
          </w:p>
        </w:tc>
      </w:tr>
      <w:tr>
        <w:trPr>
          <w:trHeight w:val="2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1,084,992</w:t>
            </w:r>
          </w:p>
        </w:tc>
      </w:tr>
      <w:tr>
        <w:trPr>
          <w:trHeight w:val="247"/>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FF0FC"/>
          </w:tcPr>
          <w:p>
            <w:pPr>
              <w:spacing w:after="0"/>
              <w:rPr>
                <w:sz w:val="21"/>
                <w:szCs w:val="21"/>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6,659,954</w:t>
            </w:r>
          </w:p>
        </w:tc>
      </w:tr>
      <w:tr>
        <w:trPr>
          <w:trHeight w:val="2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7,356,743</w:t>
            </w:r>
          </w:p>
        </w:tc>
      </w:tr>
      <w:tr>
        <w:trPr>
          <w:trHeight w:val="247"/>
        </w:trPr>
        <w:tc>
          <w:tcPr>
            <w:tcW w:w="9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through 2033</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76,089,768</w:t>
            </w: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Indefinitely</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44,279,269</w:t>
            </w:r>
          </w:p>
        </w:tc>
      </w:tr>
    </w:tbl>
    <w:p>
      <w:pPr>
        <w:spacing w:after="0" w:line="23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Group had advertising expenses carryforwards of US$3,894,561 and US$3,847,264 respectively, which can be carried forward indefinitely.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Group had withholding tax credit carryforwards of US$1,072,899 and US$1,042,268, respectively, Among the withholding tax credit carryforwards as of December 31, 2023, US$904,613 will expire by 2025 while US$137,655 will expire in 2026.</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Management assessed the positive and negative evidence in certain entities in the PRC, United States, New Zealand and Singapore, and estimated they will have sufficient future taxable income to utilize the existing deferred tax assets. Significant objective positive evidence included the significant growth in customer trading activities in the New Zealand entities where net operating loss carryforwards could be carried forward indefinitely, net operating loss carryforwards in the United States generated after 2017 can be carried forward indefinitely, and net operating loss carryforwards in Singapore can be carried forward indefinitely. Net operating loss carryforwards can be carried forward 5 years in PRC except for a PRC entity qualified as “HNTE” which can be carried forward 10 years. The Group has concluded that deferred tax asset recognized for certain entities in the PRC, United States, New Zealand and Singapore is more likely than not to be realized.</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more-likely-than-not that the deferred tax assets will not be realized in the future. The Group considers positive and negative evidence on each individual subsidiary basis to determine whether some portion or all of the deferred tax assets will be more-likely-than-not realized.</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realizability of deferred tax assets requires significant judgment associated with evaluation of past and projected financial performance which incorporates projections of future taxable income, including forecasted revenues and expenses, by tax-paying component. In assessing the realizability of deferred tax assets, management considered the future taxable earnings which consists of forecasted revenue, operating cost and expenses, and the expected timing of the reversal of temporary differences. As of December 31, 2022 and 2023, valuation allowances of US$11,307,489 and US$18,262,801, respectively, were provided against the deferred tax assets that were determined more-likely-than-not will not be realized in the future. Deferred tax assets related to net operating loss carryforwards of US$1,510,584 without a valuation allowance were generated in 2023. Due to changes in judgment about the realizability of deferred tax assets in 2023, valuation allowance increases of US$3,574,020 were recorded in 2023. The Group realized a benefit of utilizing DTAs of US$187,483 in 2023 that were offset with a valuation allowance at the beginning of the year. To the extent that actual experience deviates from the assumptions, the projections would be affected and hence management’s assessment of realizability of deferred tax assets may change.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Reconciliations between the income tax expense computed by applying the PRC's 25% statutory income tax rate, the standard enterprise income tax rate in the jurisdiction of tax domicile of a significant portion of our business, to income before income taxes and the reported income tax expense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40" w:type="dxa"/>
            <w:vAlign w:val="bottom"/>
            <w:tcBorders>
              <w:bottom w:val="single" w:sz="8" w:color="auto"/>
            </w:tcBorders>
          </w:tcPr>
          <w:p>
            <w:pPr>
              <w:spacing w:after="0"/>
              <w:rPr>
                <w:sz w:val="21"/>
                <w:szCs w:val="21"/>
                <w:color w:val="auto"/>
              </w:rPr>
            </w:pPr>
          </w:p>
        </w:tc>
      </w:tr>
      <w:tr>
        <w:trPr>
          <w:trHeight w:val="241"/>
        </w:trPr>
        <w:tc>
          <w:tcPr>
            <w:tcW w:w="656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560" w:type="dxa"/>
            <w:vAlign w:val="bottom"/>
          </w:tcPr>
          <w:p>
            <w:pPr>
              <w:spacing w:after="0"/>
              <w:rPr>
                <w:sz w:val="20"/>
                <w:szCs w:val="20"/>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19,054,472</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2,031,785</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45,993,737</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at statutory income tax rate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(4,763,618 )</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(507,946 )</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(11,498,434 )</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(596,978 )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(1,118,844 )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23,195</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2,345,990</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999,270</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1,306,561</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deferred taxes for tax rate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(610,551 )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(1,269,155 )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Super deduction of research and development expense</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4,476,114</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4,725,220</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5,509,308</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(4,138,443 )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(4,142,647 )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(1,998,354 )</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Non-taxable income</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109,984</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35,616</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194,107</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(1,186,269 )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(6,334,151 )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(7,185,112 )</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1,146,536</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662,419</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share-based compensation tax attributes (Note)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2,177,436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(4,363,771 )</w:t>
            </w:r>
          </w:p>
        </w:tc>
        <w:tc>
          <w:tcPr>
            <w:tcW w:w="1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(4,288,665 )</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Note: This income tax benefit of US$2.2 million was related to the expenses being allowed to be deducted on the tax filling for fiscal year 2021 and the recognition of a deferred tax asset for the cumulative compensation costs for share-based compensation awards outstanding as of January 1, 2022 as a result of developments during the year ended December 31, 2022.</w:t>
      </w:r>
    </w:p>
    <w:p>
      <w:pPr>
        <w:spacing w:after="0" w:line="172" w:lineRule="exact"/>
        <w:rPr>
          <w:sz w:val="20"/>
          <w:szCs w:val="20"/>
          <w:color w:val="auto"/>
        </w:rPr>
      </w:pPr>
    </w:p>
    <w:p>
      <w:pPr>
        <w:ind w:left="440" w:hanging="432"/>
        <w:spacing w:after="0"/>
        <w:tabs>
          <w:tab w:leader="none" w:pos="4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A1 Note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25, 2021, the Company entered into the Convertible Note Purchase Agreement (the “Agreement”) with a group of investors (the “Investors”) to issue its convertible bonds with an aggregate principal amount of US$44 million to the Investors through a private placement (2021 Series A1 Note). The convertible notes issued will mature in 2026 unless previously converted. The 2021 Series A1 Note bears annual interest rate at 1% from the</w:t>
      </w:r>
    </w:p>
    <w:p>
      <w:pPr>
        <w:spacing w:after="0"/>
        <w:rPr>
          <w:sz w:val="20"/>
          <w:szCs w:val="20"/>
          <w:color w:val="auto"/>
        </w:rPr>
      </w:pPr>
      <w:r>
        <w:rPr>
          <w:rFonts w:ascii="Times New Roman" w:cs="Times New Roman" w:eastAsia="Times New Roman" w:hAnsi="Times New Roman"/>
          <w:sz w:val="18"/>
          <w:szCs w:val="18"/>
          <w:color w:val="auto"/>
        </w:rPr>
        <w:t>issuance date until the outstanding principal amount is fully repaid.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elected the fair value option for the 2021 Series A1 Note. The Company adopted binomial-lattice option valuation model to estimate the fair value of the convertible bonds with the assistance of an independent third-party appraiser and the following assumptions for each applicable period which took into account variables such as share price, volatility, expected dividend, risk free interest rate and bond yield. Changes in fair value of convertible bonds are recognized in other income in the consolidated statements of comprehensive income (loss) during the year, with the exception of changes in fair value due to instrument-specific credit risk which are required to be recognized in accumulated other comprehensive income (loss).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27 and 30, 2021, the Company and the Investors entered into an amendment agreement with a cash conversion feature added into the Agreement. Upon conversion, the Company will pay or deliver, as the case may be, cash, ADSs, or a combination of cash and ADSs, at the Company’s election. The Company accounted for the amendment as an extinguishment of the previous bonds. The changes in the fair value of the convertible bonds before and after the modification was recorded in other income in the consolidated statements of comprehensive income (loss) during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A1 Note (Continued)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the conversion option may be settled entirely or partially in cash at the Company’s option, the Company separated the 2021 Series A1 Note into liability and equity components in accordance with ASC Subtopic 470-20, Debt with Conversion and Other Options. The carrying amount of the liability component was calculated by measuring the fair value of a similar liability that did not have an associated conversion feature. The carrying amount of the equity component representing the conversion option was determined by deducting the fair value of the liability component from the initial proceeds and recorded as additional paid-in capital. The resulting discount was accreted at an effective interest rate of 5.4% over the period from modification date to the maturity date.</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According to ASU 2020-06, f</w:t>
      </w:r>
      <w:r>
        <w:rPr>
          <w:rFonts w:ascii="Times New Roman" w:cs="Times New Roman" w:eastAsia="Times New Roman" w:hAnsi="Times New Roman"/>
          <w:sz w:val="18"/>
          <w:szCs w:val="18"/>
          <w:color w:val="343541"/>
        </w:rPr>
        <w:t>or the</w:t>
      </w:r>
      <w:r>
        <w:rPr>
          <w:rFonts w:ascii="Times New Roman" w:cs="Times New Roman" w:eastAsia="Times New Roman" w:hAnsi="Times New Roman"/>
          <w:sz w:val="18"/>
          <w:szCs w:val="18"/>
          <w:color w:val="auto"/>
        </w:rPr>
        <w:t xml:space="preserve"> 2021 Series A1 Note</w:t>
      </w:r>
      <w:r>
        <w:rPr>
          <w:rFonts w:ascii="Times New Roman" w:cs="Times New Roman" w:eastAsia="Times New Roman" w:hAnsi="Times New Roman"/>
          <w:sz w:val="18"/>
          <w:szCs w:val="18"/>
          <w:color w:val="343541"/>
        </w:rPr>
        <w:t>, conversion options that were previously bifurcated and recorded in equity, which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43541"/>
        </w:rPr>
        <w:t xml:space="preserve">recombined as a single instrument classified as a liability from January 1, 2022. The Company adopted the modified retrospective method and the change </w:t>
      </w:r>
      <w:r>
        <w:rPr>
          <w:rFonts w:ascii="Times New Roman" w:cs="Times New Roman" w:eastAsia="Times New Roman" w:hAnsi="Times New Roman"/>
          <w:sz w:val="18"/>
          <w:szCs w:val="18"/>
          <w:color w:val="000000"/>
        </w:rPr>
        <w:t>was recorded in the consolidated statements of changes in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A2 Note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May 5, 2021, the Company issued US$21 million convertible bonds (2021 Series A2 Note). The convertible notes to be issued will mature in 2026 unless previously converted. The Bond bears annual interest rate at 1% from the issuance date until the outstanding principal amount is fully repaid. The 2021 Series A2 Note did not have any embedded conversion option which required to be bifurcated and separately accounted for as a derivative under</w:t>
      </w:r>
    </w:p>
    <w:p>
      <w:pPr>
        <w:jc w:val="both"/>
        <w:spacing w:after="0" w:line="266" w:lineRule="auto"/>
        <w:rPr>
          <w:sz w:val="20"/>
          <w:szCs w:val="20"/>
          <w:color w:val="auto"/>
        </w:rPr>
      </w:pPr>
      <w:r>
        <w:rPr>
          <w:rFonts w:ascii="Times New Roman" w:cs="Times New Roman" w:eastAsia="Times New Roman" w:hAnsi="Times New Roman"/>
          <w:sz w:val="18"/>
          <w:szCs w:val="18"/>
          <w:color w:val="auto"/>
        </w:rPr>
        <w:t>ASC 815 Derivatives and Hedging, nor do they contain a cash conversion feature. The Company accounted for the 2021 Series A2 Note in accordance with ASC 470 Debt, as a single debt instrument and subsequently measured at amortized cost. No beneficial conversion feature (the “BCF”) was recognized as the set conversion price for the 2021 Series A2 Note is greater than the fair value of the ADSs price at date of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B Note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April 12, 2021, a consortium of institutional investors subscribed to purchase convertible notes in an aggregate principal amount of US$90 million through a private placement (2021 Series B Note). The convertible notes issued will mature in 2026 unless previously converted. The Bond bears annual interest rate at 1% from the issuance date until the outstanding principal amount is fully repaid. The 2021 Series B Note did not have any embedded conversion option which required to be bifurcated and separately accounted for as a derivative under ASC 815 Derivatives and Hedging, nor do they contain a cash conversion feature. The Company accounted for the 2021 Series B Note in accordance with ASC 470 Debt, as a single debt instrument and subsequently measured at amortized cost. No BCF was recognized as the set conversion price for the 2021 Series B Note is greater than the fair value of the ADSs price at date of issuance.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92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A1 Note US$ 44,000,000</w:t>
            </w:r>
          </w:p>
        </w:tc>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4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41,531,679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42,957,209</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 Note US$ 21,000,000</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21,330,823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21,543,492</w:t>
            </w:r>
          </w:p>
        </w:tc>
        <w:tc>
          <w:tcPr>
            <w:tcW w:w="100" w:type="dxa"/>
            <w:vAlign w:val="bottom"/>
          </w:tcPr>
          <w:p>
            <w:pPr>
              <w:spacing w:after="0"/>
              <w:rPr>
                <w:sz w:val="20"/>
                <w:szCs w:val="20"/>
                <w:color w:val="auto"/>
              </w:rPr>
            </w:pPr>
          </w:p>
        </w:tc>
      </w:tr>
      <w:tr>
        <w:trPr>
          <w:trHeight w:val="243"/>
        </w:trPr>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Note US$ 90,000,000 1.00% due to 2026</w:t>
            </w:r>
          </w:p>
        </w:tc>
        <w:tc>
          <w:tcPr>
            <w:tcW w:w="218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91,474,981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92,386,990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154,337,483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156,887,691</w:t>
            </w:r>
          </w:p>
        </w:tc>
        <w:tc>
          <w:tcPr>
            <w:tcW w:w="10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7"/>
        </w:trPr>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10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F-38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-1233805</wp:posOffset>
            </wp:positionV>
            <wp:extent cx="774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Memorandum of Association authorizes the Company to issue 4,662,388,278 Class A ordinary shares and 337,611,722 Class B ordinary shares with a par value of US$0.00001 per share. The shareholders of Class A ordinary shares and Class B ordinary shares have the same rights except for the voting and conversion rights. Each Class A ordinary share is entitled to one vote and is not convertible into Class B ordinary share under any circumstance; and each Class B ordinary share is entitled to twenty votes and will be automatically converted into one Class A ordinary share under certain circumstances.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June 7, 2018, upon the Re-domiciliation described in Note 1, the Company had 33,170,968 Class A ordinary shares and 410,643,948 Class B ordinary shares issued and outstanding, respectively. In June 2018, the Company further issued 2,480,000 Class A ordinary shares and 107,863,347 Class B ordinary shares. In November 2018, 180,895,573 Class B ordinary shares were redesignated into Class A ordinary shares. As of December 31, 2018, the Company had 216,546,541 Class A ordinary shares and 337,611,722 Class B ordinary shares issued and outstanding, respectively.</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March 2019, the Group completed its initial public offering and received net proceeds of US$114,765,901, the Company newly issued 237,375,000 Class A ordinary shares (representing 15,825,000 ADSs), including 13,125,000 Class A ordinary shares issued through a private placement from an existing shareholder, IB Global Investment LLC, an affiliate of Interactive Brokers, and 29,250,000 Class A ordinary shares issued from exercising the over-allotment option by the underwriters.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Upon the completion of the initial public offering, 1,210,906,902 outstanding Series Angel, A, B-1, B-2, B-3 and C preferred shares were converted into 1,210,906,902 Class A ordinary shares on a one-for-one basis, and 18,597,738 outstanding Series C-1 preferred shares were converted into 18,612,084 Class A ordinary shares, reflecting the anti-dilution adjustments to the conversion rate based on the initial public offering price of US$8.00 per ADS.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had 1,777,218,449 Class A ordinary shares and 337,611,722 Class B ordinary shares issued and outstanding, respectively.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1,794,357,434 Class A ordinary shares and 337,611,722 Class B ordinary shares issued and outstanding, respectively.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June 10, 2021, the Company completed a follow-on public offering, issued 112,125,000 Class A ordinary shares for a total consideration of US$175.4 million after deducting the underwriting discounts and commissions and offering expenses.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March, August and December 2021, 22,500,000, 45,000,000 and 48,000,000 Class B ordinary shares were converted into Class A ordinary shares,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2022, 124,500,000 Class B ordinary shares were converted into Class A ordinary shares.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2,252,892,845 Class A ordinary shares and 97,611,722 Class B ordinary shares issued and outstanding,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November 8, 2022, Beijing Xiangshang, one of the Company’s consolidated VIE’s subsidiaries, issued 31,875,000 Series Angel redeemable preferred shares (“Series Angel preferred shares”) to external investors for an aggregate cash consideration of US$4,397,462, and US$4,356,074 proceeds were received upon the issuance. As of December 31, 2022, the outstanding US$43,496 was recorded as subscriptions receivable from redeemable non-controlling interests in the consolidated balance sheets. On March 20, 2023, the outstanding US$43,672 was received and transferred from subscriptions receivable to redeemable non-controlling interests in the consolidated balance sheets.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April 7, 2023, Beijing Xiangshang, issued 11,250,000 Series Pre-A redeemable preferred shares (“Series Pre-A preferred shares”) to external investors for an aggregate cash consideration of US$1,636,364.</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Series Angel and Pre-A preferred shares, which are redeemable by Beijing Xiangshang upon occurrence of certain events, are recorded as mezzanine equity in the consolidated balance sheets and consist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Series Angel</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Pre-A</w:t>
            </w:r>
          </w:p>
        </w:tc>
        <w:tc>
          <w:tcPr>
            <w:tcW w:w="15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6360" w:type="dxa"/>
            <w:vAlign w:val="bottom"/>
          </w:tcPr>
          <w:p>
            <w:pPr>
              <w:spacing w:after="0"/>
              <w:rPr>
                <w:sz w:val="11"/>
                <w:szCs w:val="11"/>
                <w:color w:val="auto"/>
              </w:rPr>
            </w:pPr>
          </w:p>
        </w:tc>
        <w:tc>
          <w:tcPr>
            <w:tcW w:w="1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6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US$</w:t>
            </w: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4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redeemable preferred shares of VIE's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4,356,074</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223,798</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4,641,742</w:t>
            </w:r>
          </w:p>
        </w:tc>
        <w:tc>
          <w:tcPr>
            <w:tcW w:w="220" w:type="dxa"/>
            <w:vAlign w:val="bottom"/>
            <w:shd w:val="clear" w:color="auto" w:fill="CFF0FC"/>
          </w:tcPr>
          <w:p>
            <w:pPr>
              <w:spacing w:after="0"/>
              <w:rPr>
                <w:sz w:val="24"/>
                <w:szCs w:val="24"/>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4,641,742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redeemable preferred shares of VIE’s subsidiary</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2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1,636,364</w:t>
            </w:r>
          </w:p>
        </w:tc>
        <w:tc>
          <w:tcPr>
            <w:tcW w:w="200" w:type="dxa"/>
            <w:vAlign w:val="bottom"/>
            <w:tcBorders>
              <w:top w:val="single" w:sz="8" w:color="CFF0FC"/>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1,680,036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456,911</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113,812</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(135,054 )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(50,787 )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(185,841 )</w:t>
            </w:r>
          </w:p>
        </w:tc>
        <w:tc>
          <w:tcPr>
            <w:tcW w:w="0" w:type="dxa"/>
            <w:vAlign w:val="bottom"/>
          </w:tcPr>
          <w:p>
            <w:pPr>
              <w:spacing w:after="0"/>
              <w:rPr>
                <w:sz w:val="1"/>
                <w:szCs w:val="1"/>
                <w:color w:val="auto"/>
              </w:rPr>
            </w:pPr>
          </w:p>
        </w:tc>
      </w:tr>
      <w:tr>
        <w:trPr>
          <w:trHeight w:val="279"/>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5,007,271</w:t>
            </w:r>
          </w:p>
        </w:tc>
        <w:tc>
          <w:tcPr>
            <w:tcW w:w="2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1,699,389</w:t>
            </w:r>
          </w:p>
        </w:tc>
        <w:tc>
          <w:tcPr>
            <w:tcW w:w="2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6,706,660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-676275</wp:posOffset>
            </wp:positionV>
            <wp:extent cx="768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-659130</wp:posOffset>
            </wp:positionV>
            <wp:extent cx="768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-676275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-659130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768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768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significant terms of the Series Angel and Pre-A preferred shares issued by Beijing Xiangshang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holders of preferred shares and ordinary shares shall vote together based on their shareholding ratio.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 dividend, whether in cash, in property or in shares of Beijing Xiangshang, shall be paid on any other shares, unless and until a preferential dividend in cash and/or share is, in advance, paid in full on each preferred share.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Beijing Xiangshang decides to pay dividends, the preferred shares holders shall be entitled to receive non-cumulative dividends of 10% of the consideration that they paid for the equity interests. After receiving all non-cumulative dividends, the preferred shares holders shall be entitled to receive, on a pro rata basis, out of any funds legally available therefor, remaining undistributed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event of liquidation, the preferred shares holder, shall be entitled to receive, prior to the holders of ordinary shares, the relevant amount.</w:t>
      </w:r>
    </w:p>
    <w:p>
      <w:pPr>
        <w:spacing w:after="0" w:line="22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the event of insufficient funds available to pay in full the preference amount in respect of each preferred shares, the entire assets and funds of Beijing Xiangshang legally available for distribution to the holders of the preferred shares shall be distributed on a pro rata basis among the holders in proportion to issued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holder of the preferred shares may require that Beijing Xiangshang redeem any or all of the outstanding preferred shares held by the holder with redemption price calculated on the agreed terms, if Beijing Xiangshang fails to complete a Qualified IPO before June 30, 2028, or under other pre-agreed redemption events.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redemption price refers to the higher of the following:</w:t>
      </w:r>
    </w:p>
    <w:p>
      <w:pPr>
        <w:spacing w:after="0" w:line="225" w:lineRule="exact"/>
        <w:rPr>
          <w:sz w:val="20"/>
          <w:szCs w:val="20"/>
          <w:color w:val="auto"/>
        </w:rPr>
      </w:pPr>
    </w:p>
    <w:p>
      <w:pPr>
        <w:ind w:left="1260" w:right="6900" w:hanging="503"/>
        <w:spacing w:after="0" w:line="261" w:lineRule="auto"/>
        <w:tabs>
          <w:tab w:leader="none" w:pos="9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calculated by the following formula: A*P* (1+10%^N) + B; (see Note below)</w:t>
      </w:r>
    </w:p>
    <w:p>
      <w:pPr>
        <w:ind w:right="20" w:firstLine="757"/>
        <w:spacing w:after="0" w:line="260" w:lineRule="auto"/>
        <w:tabs>
          <w:tab w:leader="none" w:pos="10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value of the preferred shares to be redeemed which shall be determined by the audited net asset value of Beijing Xiangshang’s most recent quarter-end consolidated financial statements</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Note: In the formula above, A refers to the shares to be redeemed; P refers to corresponding original purchase price per share; N refers to the result calculated by dividing the days from the date the issuance of preferred shares to the completion of the redemption by 365; B refers to the profits declared but yet to be distributed with respect to the preferred shares to be redeemed.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redeemable non-controlling interests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 preferred shares financing by a consolidated VIE’s subsidiary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and recorded accretions on the preferred shares to the redemption value from the issuance dates to the earliest redemption dates.</w:t>
      </w:r>
    </w:p>
    <w:p>
      <w:pPr>
        <w:spacing w:after="0" w:line="179"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measures financial instruments held, at fair value, cash and cash equivalents and long-term available-for-sale securities on a recurring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Most of the Company’s financial instruments held, at fair value are classified as Level 1 since their fair value are determined based on the quoted market price. Some of the Company’s financial instruments held, at fair value that are valued at quoted prices in less active markets are classified as Level 2. Investments in private equity funds are categorized as Level 3 since they are valued utilizing third-party pricing information without adjustment.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classified its money market funds, which are presented in cash and cash equivalents due to high liquidity to be convertible to known amounts of cash and near maturity that they present insignificant risk of changes in value, as Level 1 since their fair value are determined based on the quoted market price.</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measured the fair value of its long-term available-for-sale securities using market approach and considered those as Level 3 measurement because the Group used unobservable inputs to determine their fair values. The unobservable inputs were discounts for lack of marketability for such market approach (ranging from 10% to 15%), as well as risk-free interest rates (ranging from 3.5% to 4%), as of December 31, 2022 and 2023. Significant increases or decreases in any of those inputs in isolation would result in a significant change in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 (Continued)</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and 2023, information about inputs for the fair value measurements of the Group’s assets that were measured at fair value on a recurring basis in periods subsequent to their initial recognition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2,634,959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3,435,440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Bonds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418,077,123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418,077,123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3,014,507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644,000</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Funds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6,428,256</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6,428,256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4,066,490</w:t>
            </w:r>
          </w:p>
        </w:tc>
        <w:tc>
          <w:tcPr>
            <w:tcW w:w="28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430,798,845</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353,525</w:t>
            </w:r>
          </w:p>
        </w:tc>
        <w:tc>
          <w:tcPr>
            <w:tcW w:w="26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7,501,930</w:t>
            </w:r>
          </w:p>
        </w:tc>
        <w:tc>
          <w:tcPr>
            <w:tcW w:w="28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438,654,300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2,140,551</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2,861,868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5,002,419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Bonds</w:t>
            </w:r>
          </w:p>
        </w:tc>
        <w:tc>
          <w:tcPr>
            <w:tcW w:w="1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152,699,420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152,699,420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4,833,345</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4,833,345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4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4,516,815</w:t>
            </w: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4,516,815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159,673,316</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7,378,683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167,051,999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-1739265</wp:posOffset>
            </wp:positionV>
            <wp:extent cx="774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-1722120</wp:posOffset>
            </wp:positionV>
            <wp:extent cx="77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-1739265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-1722120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-1739265</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-1722120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years ended December 31, 2022 and 2023, there were no transfers between level 1, level 2 and level 3 categories.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movements of Level 3 fair value measurements for the years ended December 31, 2022 and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50"/>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 of January 1, 2022</w:t>
            </w:r>
          </w:p>
        </w:tc>
        <w:tc>
          <w:tcPr>
            <w:tcW w:w="6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7,814,755</w:t>
            </w: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6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r>
      <w:tr>
        <w:trPr>
          <w:trHeight w:val="247"/>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loss</w:t>
            </w:r>
          </w:p>
        </w:tc>
        <w:tc>
          <w:tcPr>
            <w:tcW w:w="6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(967,157 )</w:t>
            </w: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(472,605 )</w:t>
            </w:r>
          </w:p>
        </w:tc>
      </w:tr>
      <w:tr>
        <w:trPr>
          <w:trHeight w:val="243"/>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92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3,690</w:t>
            </w:r>
          </w:p>
        </w:tc>
      </w:tr>
      <w:tr>
        <w:trPr>
          <w:trHeight w:val="238"/>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December 31, 2022</w:t>
            </w:r>
          </w:p>
        </w:tc>
        <w:tc>
          <w:tcPr>
            <w:tcW w:w="4920" w:type="dxa"/>
            <w:vAlign w:val="bottom"/>
          </w:tcPr>
          <w:p>
            <w:pPr>
              <w:spacing w:after="0"/>
              <w:rPr>
                <w:sz w:val="20"/>
                <w:szCs w:val="20"/>
                <w:color w:val="auto"/>
              </w:rPr>
            </w:pPr>
          </w:p>
        </w:tc>
        <w:tc>
          <w:tcPr>
            <w:tcW w:w="2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7,378,683</w:t>
            </w:r>
          </w:p>
        </w:tc>
      </w:tr>
      <w:tr>
        <w:trPr>
          <w:trHeight w:val="239"/>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6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w:t>
            </w:r>
          </w:p>
        </w:tc>
        <w:tc>
          <w:tcPr>
            <w:tcW w:w="492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(876,753 )</w:t>
            </w:r>
          </w:p>
        </w:tc>
      </w:tr>
      <w:tr>
        <w:trPr>
          <w:trHeight w:val="278"/>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 of December 31, 2023</w:t>
            </w:r>
          </w:p>
        </w:tc>
        <w:tc>
          <w:tcPr>
            <w:tcW w:w="4920" w:type="dxa"/>
            <w:vAlign w:val="bottom"/>
            <w:tcBorders>
              <w:bottom w:val="single" w:sz="8" w:color="CFF0FC"/>
            </w:tcBorders>
            <w:shd w:val="clear" w:color="auto" w:fill="CFF0FC"/>
          </w:tcPr>
          <w:p>
            <w:pPr>
              <w:spacing w:after="0"/>
              <w:rPr>
                <w:sz w:val="24"/>
                <w:szCs w:val="24"/>
                <w:color w:val="auto"/>
              </w:rPr>
            </w:pP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7,501,930</w:t>
            </w:r>
          </w:p>
        </w:tc>
      </w:tr>
      <w:tr>
        <w:trPr>
          <w:trHeight w:val="631"/>
        </w:trPr>
        <w:tc>
          <w:tcPr>
            <w:tcW w:w="4260" w:type="dxa"/>
            <w:vAlign w:val="bottom"/>
          </w:tcPr>
          <w:p>
            <w:pPr>
              <w:spacing w:after="0"/>
              <w:rPr>
                <w:sz w:val="24"/>
                <w:szCs w:val="24"/>
                <w:color w:val="auto"/>
              </w:rPr>
            </w:pPr>
          </w:p>
        </w:tc>
        <w:tc>
          <w:tcPr>
            <w:tcW w:w="6980" w:type="dxa"/>
            <w:vAlign w:val="bottom"/>
            <w:gridSpan w:val="2"/>
          </w:tcPr>
          <w:p>
            <w:pPr>
              <w:jc w:val="right"/>
              <w:ind w:right="5350"/>
              <w:spacing w:after="0"/>
              <w:rPr>
                <w:sz w:val="20"/>
                <w:szCs w:val="20"/>
                <w:color w:val="auto"/>
              </w:rPr>
            </w:pPr>
            <w:r>
              <w:rPr>
                <w:rFonts w:ascii="Times New Roman" w:cs="Times New Roman" w:eastAsia="Times New Roman" w:hAnsi="Times New Roman"/>
                <w:sz w:val="18"/>
                <w:szCs w:val="18"/>
                <w:color w:val="auto"/>
              </w:rPr>
              <w:t>F-42</w:t>
            </w:r>
          </w:p>
        </w:tc>
      </w:tr>
      <w:tr>
        <w:trPr>
          <w:trHeight w:val="763"/>
        </w:trPr>
        <w:tc>
          <w:tcPr>
            <w:tcW w:w="42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 (Continued)</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unrealized loss included US$857,153 recognized in other comprehensive income (loss) in the consolidated statements of comprehensive income (loss), and the unrealized loss US$110,004 recognized in other income in the consolidated statements of comprehensive income (loss). For the year ended December 31, 2023, the unrealized loss included US$450,325 recognized in other comprehensive income (loss) in the consolidated statements of comprehensive income (loss), and the unrealized loss US$426,428 recognized in other income in the consolidated statements of comprehensive income (loss).The Group recognized nil, US$472,605 and nil impairment loss related to the long-term available-for-sale securities as an offset of other income for the years ended December 31, 2021, 2022 and 2023.</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Measured at fair value on a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-43815</wp:posOffset>
            </wp:positionV>
            <wp:extent cx="64135" cy="3937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measures the equity securities without readily determinable fair value at fair value on a nonrecurring basis whenever there is an impairment indicator or any changes resulting from observable price changes in orderly transactions for the identical or a similar investment of the same issuer. There was no impairment loss related to the long-term equity securities without readily determinable fair value for the years ended December 31, 2022 and 2023.</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8"/>
          <w:szCs w:val="18"/>
          <w:color w:val="auto"/>
        </w:rPr>
        <w:t>The Group measured the value of its share options and restricted share units granted to employees and management at fair value to determine the share-based compensation expenses on each of the grant date. The fair value was determined using models with significant unobservable inputs (Level 3</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Key inputs and parameters primarily include risk-free interest rate, expected stock price volatility, dividend yields, expected term, and forfeiture rates.</w:t>
      </w:r>
    </w:p>
    <w:p>
      <w:pPr>
        <w:spacing w:after="0" w:line="162"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Group measures goodwill at fair value on a nonrecurring basis and performs a goodwill impairment test annually or more often if event occur or circumstances change that would more likely than not reduce the fair value of a reporting unit below its carry amount. The Group measured acquired intangible assets using the income approach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discounted cash flow method when events or changes in circumstances indicate that the carrying amount of an asset may no longer be recoverable. The Group did not recognize any impairment loss related to other intangible assets arising from acquisitions during the years ended December 31, 2022 and 2023. The fair value of goodwill is determined using discounted cash flows, and an impairment loss will be recognized for any excess in the carrying value of goodwill over the implied fair value of goodwill. The Group did not recognize any impairment loss related to goodwill during the years ended December 31, 2022 and 2023. Key inputs and parameters primarily for the above impairment assessment include significant judgment and estimates by the management on future earnings, and discount rate.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6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implemented a share incentive plan in June 2014 (the “2014 Plan”) which allows the Group to grant options and restricted share units to employees, directors and consultants of the Group. Under the 2014 Plan, the maximum aggregate number of shares that may be issued shall not exceed 187,697,314 ordinary shares.</w:t>
      </w:r>
    </w:p>
    <w:p>
      <w:pPr>
        <w:spacing w:after="0" w:line="135"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In relation with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Company adopted the 2018 share incentive plan, which was approved by the board of directors of the Company to replace the previous 2014 share incentive plan created in June 2014. The terms of the 2018 share incentive plan are substantially the same as those under the 2014 share incentive plan, except that the number of options and restricted share units and exercise price were adjusted on a diluted basis in accordance to the shares number of the Company upon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awards granted and outstanding under the 2014 share incentive plan survived and remained effective and binding under the 2018 share incentive plan. In December 2018, the Board of Directors of the Company approved to expand the aggregate number of shares that may be issued to not exceed 254,697,314 ordinary shares.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March 2019, the Group implemented the 2019 Performance Incentive Plan (the “2019 Plan”), which was approved by the board of directors of the Company to grant a maximum number of 52,000,000 ordinary shares under the 2019 Plan.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December 2020, 10,429,305 treasury stock repurchased under the Share Repurchase Program were approved by the board of directors of the Company to increase the shares issuable under 2019 Plan from 52,000,000 shares to 62,429,305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September 2021, 36,534,435 Class A ordinary shares issued under the evergreen plan were approved by the board of directors of the Company to increase the award pool under 2019 Plan from 62,429,305 shares to 98,963,740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January 2023, 34,918,695 Class A ordinary shares issued under the evergreen plan were approved by the board of directors of the Company to increase the award pool under 2019 Plan from 98,963,740 shares to 133,882,435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has granted service-based share options, which vest and become exercisable in three installments, with 50% of the total number of ordinary shares subject to such option becoming vested and exercisable on the second anniversary of the vesting commencement date, and 25% becoming vested and exercisable on each of the third and fourth anniversary of the vesting commencement date. The grant date of the share options is the vesting commencement date. The Company also has granted performance-based share options with performance conditions included semi-annual performance results and operating and financial results of the Company. The performance-based share options will commence to vest once the performance conditions are satisfied. Upon termination of employment, all the options that have not been vested will be forfeited. The terms of the options shall not exceed ten years from the date of grant. In addition, the Company has the right to purchase:</w:t>
      </w:r>
    </w:p>
    <w:p>
      <w:pPr>
        <w:spacing w:after="0" w:line="189" w:lineRule="exact"/>
        <w:rPr>
          <w:sz w:val="20"/>
          <w:szCs w:val="20"/>
          <w:color w:val="auto"/>
        </w:rPr>
      </w:pPr>
    </w:p>
    <w:p>
      <w:pPr>
        <w:ind w:left="760" w:hanging="365"/>
        <w:spacing w:after="0" w:line="282" w:lineRule="auto"/>
        <w:tabs>
          <w:tab w:leader="none" w:pos="7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for death, disability or retirement, the employees’ vested and/or exercised options at a price of 50% of the fair market value as of the latest practicable date prior to the termination, within 6 months from the employees’ termination;</w:t>
      </w:r>
    </w:p>
    <w:p>
      <w:pPr>
        <w:spacing w:after="0" w:line="161"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dismissal for cause, all the employees’ vested and/or exercised option at a purchase price equals to the exercise price the employees paid to the Company;</w:t>
      </w:r>
    </w:p>
    <w:p>
      <w:pPr>
        <w:spacing w:after="0" w:line="161" w:lineRule="exact"/>
        <w:rPr>
          <w:rFonts w:ascii="Times New Roman" w:cs="Times New Roman" w:eastAsia="Times New Roman" w:hAnsi="Times New Roman"/>
          <w:sz w:val="18"/>
          <w:szCs w:val="18"/>
          <w:color w:val="auto"/>
        </w:rPr>
      </w:pPr>
    </w:p>
    <w:p>
      <w:pPr>
        <w:ind w:left="760" w:hanging="365"/>
        <w:spacing w:after="0" w:line="282" w:lineRule="auto"/>
        <w:tabs>
          <w:tab w:leader="none" w:pos="7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other terminations of employment, the employees’ vested and/or exercised option at a price of 30% of the fair market value as of the latest practicable date prior to the termination, within 6 months from the employees’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the terms permit the Company to purchase these share options at an amount that is equal to or less than the fair value, the Company evaluates the classification for each award upon the occurrence of each employment termination. The termination of employees has been insignificant for all periods presented. As of December 31, 2022 and 2023, the share option award is classified as equity.</w:t>
      </w:r>
    </w:p>
    <w:p>
      <w:pPr>
        <w:spacing w:after="0" w:line="135"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The Group calculated the estimated fair value of the options on the respective grant dates using the binomial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lattice option valuation model with the following assumptions for each applicable period which took into account variables such as volatility, dividend yield,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the probability that the option will be exercised prior to the end of its contractual life, and the probability of termination or retirement of the option holder in computing the value of the option.</w:t>
      </w:r>
    </w:p>
    <w:p>
      <w:pPr>
        <w:spacing w:after="0" w:line="200"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The fair value of the options granted was estimated on the date of grant that prepared by the management with the assistance of an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appraiser, and was determined using a binomial model with the following assumptions: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 per ordinary</w:t>
            </w:r>
          </w:p>
        </w:tc>
        <w:tc>
          <w:tcPr>
            <w:tcW w:w="1780" w:type="dxa"/>
            <w:vAlign w:val="bottom"/>
            <w:gridSpan w:val="2"/>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w:t>
            </w:r>
          </w:p>
        </w:tc>
        <w:tc>
          <w:tcPr>
            <w:tcW w:w="200" w:type="dxa"/>
            <w:vAlign w:val="bottom"/>
          </w:tcPr>
          <w:p>
            <w:pPr>
              <w:spacing w:after="0"/>
              <w:rPr>
                <w:sz w:val="13"/>
                <w:szCs w:val="13"/>
                <w:color w:val="auto"/>
              </w:rPr>
            </w:pPr>
          </w:p>
        </w:tc>
        <w:tc>
          <w:tcPr>
            <w:tcW w:w="12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200" w:type="dxa"/>
            <w:vAlign w:val="bottom"/>
          </w:tcPr>
          <w:p>
            <w:pPr>
              <w:spacing w:after="0"/>
              <w:rPr>
                <w:sz w:val="13"/>
                <w:szCs w:val="13"/>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40" w:type="dxa"/>
            <w:vAlign w:val="bottom"/>
          </w:tcPr>
          <w:p>
            <w:pPr>
              <w:spacing w:after="0"/>
              <w:rPr>
                <w:sz w:val="13"/>
                <w:szCs w:val="13"/>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Expected</w:t>
            </w:r>
          </w:p>
        </w:tc>
      </w:tr>
      <w:tr>
        <w:trPr>
          <w:trHeight w:val="189"/>
        </w:trPr>
        <w:tc>
          <w:tcPr>
            <w:tcW w:w="1960" w:type="dxa"/>
            <w:vAlign w:val="bottom"/>
          </w:tcPr>
          <w:p>
            <w:pPr>
              <w:spacing w:after="0"/>
              <w:rPr>
                <w:sz w:val="16"/>
                <w:szCs w:val="16"/>
                <w:color w:val="auto"/>
              </w:rPr>
            </w:pPr>
          </w:p>
        </w:tc>
        <w:tc>
          <w:tcPr>
            <w:tcW w:w="1660" w:type="dxa"/>
            <w:vAlign w:val="bottom"/>
            <w:tcBorders>
              <w:bottom w:val="single" w:sz="8" w:color="auto"/>
            </w:tcBorders>
          </w:tcPr>
          <w:p>
            <w:pPr>
              <w:jc w:val="right"/>
              <w:ind w:right="175"/>
              <w:spacing w:after="0" w:line="189" w:lineRule="exact"/>
              <w:rPr>
                <w:sz w:val="20"/>
                <w:szCs w:val="20"/>
                <w:color w:val="auto"/>
              </w:rPr>
            </w:pPr>
            <w:r>
              <w:rPr>
                <w:rFonts w:ascii="Times New Roman" w:cs="Times New Roman" w:eastAsia="Times New Roman" w:hAnsi="Times New Roman"/>
                <w:sz w:val="14"/>
                <w:szCs w:val="14"/>
                <w:b w:val="1"/>
                <w:bCs w:val="1"/>
                <w:color w:val="auto"/>
              </w:rPr>
              <w:t>share at grant date</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line="189" w:lineRule="exact"/>
              <w:rPr>
                <w:sz w:val="20"/>
                <w:szCs w:val="20"/>
                <w:color w:val="auto"/>
              </w:rPr>
            </w:pPr>
            <w:r>
              <w:rPr>
                <w:rFonts w:ascii="Times New Roman" w:cs="Times New Roman" w:eastAsia="Times New Roman" w:hAnsi="Times New Roman"/>
                <w:sz w:val="14"/>
                <w:szCs w:val="14"/>
                <w:b w:val="1"/>
                <w:bCs w:val="1"/>
                <w:color w:val="auto"/>
              </w:rPr>
              <w:t>volatility</w:t>
            </w:r>
            <w:r>
              <w:rPr>
                <w:rFonts w:ascii="Times New Roman" w:cs="Times New Roman" w:eastAsia="Times New Roman" w:hAnsi="Times New Roman"/>
                <w:sz w:val="19"/>
                <w:szCs w:val="19"/>
                <w:b w:val="1"/>
                <w:bCs w:val="1"/>
                <w:color w:val="auto"/>
                <w:vertAlign w:val="superscript"/>
              </w:rPr>
              <w:t>(3)</w:t>
            </w:r>
          </w:p>
        </w:tc>
        <w:tc>
          <w:tcPr>
            <w:tcW w:w="200" w:type="dxa"/>
            <w:vAlign w:val="bottom"/>
          </w:tcPr>
          <w:p>
            <w:pPr>
              <w:spacing w:after="0"/>
              <w:rPr>
                <w:sz w:val="16"/>
                <w:szCs w:val="16"/>
                <w:color w:val="auto"/>
              </w:rPr>
            </w:pPr>
          </w:p>
        </w:tc>
        <w:tc>
          <w:tcPr>
            <w:tcW w:w="1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ind w:right="388"/>
              <w:spacing w:after="0" w:line="18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9"/>
                <w:szCs w:val="19"/>
                <w:b w:val="1"/>
                <w:bCs w:val="1"/>
                <w:color w:val="auto"/>
                <w:vertAlign w:val="superscript"/>
              </w:rPr>
              <w:t>(5)</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ind w:right="328"/>
              <w:spacing w:after="0" w:line="189" w:lineRule="exact"/>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9"/>
                <w:szCs w:val="19"/>
                <w:b w:val="1"/>
                <w:bCs w:val="1"/>
                <w:color w:val="auto"/>
                <w:vertAlign w:val="superscript"/>
              </w:rPr>
              <w:t>(6)</w:t>
            </w:r>
          </w:p>
        </w:tc>
      </w:tr>
      <w:tr>
        <w:trPr>
          <w:trHeight w:val="169"/>
        </w:trPr>
        <w:tc>
          <w:tcPr>
            <w:tcW w:w="1960" w:type="dxa"/>
            <w:vAlign w:val="bottom"/>
          </w:tcPr>
          <w:p>
            <w:pPr>
              <w:spacing w:after="0"/>
              <w:rPr>
                <w:sz w:val="14"/>
                <w:szCs w:val="14"/>
                <w:color w:val="auto"/>
              </w:rPr>
            </w:pPr>
          </w:p>
        </w:tc>
        <w:tc>
          <w:tcPr>
            <w:tcW w:w="16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2014</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0.008</w:t>
            </w:r>
          </w:p>
        </w:tc>
        <w:tc>
          <w:tcPr>
            <w:tcW w:w="1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3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2015</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0.008-0.016</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47"/>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2016</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0.019-0.030</w:t>
            </w:r>
          </w:p>
        </w:tc>
        <w:tc>
          <w:tcPr>
            <w:tcW w:w="1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3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2017</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0.034-0.059</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0.00001-0.040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47"/>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2018</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0.147-0.405</w:t>
            </w:r>
          </w:p>
        </w:tc>
        <w:tc>
          <w:tcPr>
            <w:tcW w:w="1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0.0001-0.200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3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2019</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0.274-0.484</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0.00001-0.274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00" w:type="dxa"/>
            <w:vAlign w:val="bottom"/>
          </w:tcPr>
          <w:p>
            <w:pPr>
              <w:spacing w:after="0"/>
              <w:rPr>
                <w:sz w:val="20"/>
                <w:szCs w:val="20"/>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r>
        <w:trPr>
          <w:trHeight w:val="247"/>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2021</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0.2184</w:t>
            </w:r>
          </w:p>
        </w:tc>
        <w:tc>
          <w:tcPr>
            <w:tcW w:w="1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1.1853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10 years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w:t>
            </w:r>
          </w:p>
        </w:tc>
      </w:tr>
    </w:tbl>
    <w:p>
      <w:pPr>
        <w:spacing w:after="0" w:line="90" w:lineRule="exact"/>
        <w:rPr>
          <w:sz w:val="20"/>
          <w:szCs w:val="20"/>
          <w:color w:val="auto"/>
        </w:rPr>
      </w:pPr>
    </w:p>
    <w:p>
      <w:pPr>
        <w:jc w:val="both"/>
        <w:ind w:left="380" w:hanging="372"/>
        <w:spacing w:after="0" w:line="266" w:lineRule="auto"/>
        <w:tabs>
          <w:tab w:leader="none" w:pos="3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shares. Prior to the completion of initial public offering, the estimated fair value of the ordinary shares underlying the options as of the respective grant dates was determined based on a valuation with the assistance of a third party appraiser. The fair value of the underlying ordinary shares is determined based on the closing market price of the share after the completion of initial public offering in March 2019.</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the options was determined by the Company’s Board of Directors.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The volatility of the underlying ordinary shares was estimated based on the historical share price movement of the comparable companies for the period of time close to the expected time to exercise.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life. The contractual life of the share options was the period between the grant date and the expiry date.</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Risk free rate is estimated based on market yield of U.S. Sovereign Curve with maturity close to the share options as of the valuation date, plus country spread.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The Company does not expect to declare any dividends in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years ended December 31, 2022 and 2023 is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 options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12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280" w:type="dxa"/>
            <w:vAlign w:val="bottom"/>
          </w:tcPr>
          <w:p>
            <w:pPr>
              <w:spacing w:after="0"/>
              <w:rPr>
                <w:sz w:val="9"/>
                <w:szCs w:val="9"/>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top w:val="single" w:sz="8" w:color="auto"/>
            </w:tcBorders>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4"/>
                <w:szCs w:val="14"/>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44,356,789</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0.04833</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12,375,711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(11,347,330 )</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0.02521</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(4,578,263 )</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0.19802</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28,431,196</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0.03046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7,335,391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(2,323,795 )</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0.03554</w:t>
            </w: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26,107,401</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0.03001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7,243,680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awards and the fair value of the underlying ordinary shares at each reporting date, for those awards that had exercise price below the estimated fair value of the relevant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the share options of US$4,272,939, US$1,238,963 and US$612,686 for the years ended December 31, 2021, 2022 and 2023, respectively. As of December 31, 2023, total unrecognized share-based compensation expenses relating to these share options was US$5,964,247. The expense is expected to be recognized over a weighted-average period of 3.7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30, 2020, the Company cancelled 7,660,000 stock options and 900,000 RSUs granted historically, and granted 8,560,000 RSUs to employee on May 1, 2020. Those restricted shares vest over a period of 3 to 3.5 years. The cancellation of stock options and RSUs accompanied by the concurrent grant of a replacement RSUs is accounted for as a modification. The incremental share-based compensation of this replacement is US$0.8 million. Total amount of unrecognized share-based compensation of unvested options and RSUs and incremental share-based compensation is US$1.7 million.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activities for the years ended December 31, 2022 and 2023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40" w:type="dxa"/>
            <w:vAlign w:val="bottom"/>
          </w:tcPr>
          <w:p>
            <w:pPr>
              <w:spacing w:after="0"/>
              <w:rPr>
                <w:sz w:val="13"/>
                <w:szCs w:val="13"/>
                <w:color w:val="auto"/>
              </w:rPr>
            </w:pPr>
          </w:p>
        </w:tc>
        <w:tc>
          <w:tcPr>
            <w:tcW w:w="1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January 1, 2022</w:t>
            </w: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65,816,445</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48,542,120</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(25,568,598 )</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(9,262,221 )</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79,527,746</w:t>
            </w:r>
          </w:p>
        </w:tc>
        <w:tc>
          <w:tcPr>
            <w:tcW w:w="18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36,225,520</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(29,165,983 )</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(5,954,634 )</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80,632,649</w:t>
            </w:r>
          </w:p>
        </w:tc>
        <w:tc>
          <w:tcPr>
            <w:tcW w:w="18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-659130</wp:posOffset>
            </wp:positionV>
            <wp:extent cx="8572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8572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857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RSUs (including the expense upon modification) of US$9,097,438, US$12,636,643 and US$9,435,333 for the years ended December 31, 2021, 2022 and 2023, respectively. As of December 31, 2023, total unrecognized share-based compensation expenses relating to these RSUs was US$18,496,119. The expense is expected to be recognized over a weighted average period of 2.5 years.</w:t>
      </w:r>
    </w:p>
    <w:p>
      <w:pPr>
        <w:spacing w:after="0" w:line="18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Group recognized tax benefit relating to the share-based compensation expense of share options and RSUs of nil, US$1,666,221 and US$936,732 for the years ended December 31, 2021, 2022 and 2023, respectively.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Share Incentive Plan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July 2022, Beijing Xiangshang granted share-based awards (“Xiangshang Plan”) to eligible employees and non-employees of Beijing Xiangshang and other employees within the Group. The Xiangshang Plan consists of share options and restricted shares. The estimated fair value of each option grant is estimated on the date of grant using the binominal option-pricing model. The weighted average grant date fair value of options granted for the year ended December 31, 2023 was RMB0.0606 per share. For the year ended December 31, 2023, total share-based compensation expenses for the share options and restricted shares granted under Xiangshang Plan were US$99,343 (RMB703,159). As of December 31, 2023, there were US$270,653 (RMB1,866,750) of unrecognized share-based compensation expenses related to the share options and restricted shares granted. The expenses were expected to be recognized over a weighted-average period of 2.5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following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4080" w:type="dxa"/>
            <w:vAlign w:val="bottom"/>
            <w:tcBorders>
              <w:bottom w:val="single" w:sz="8" w:color="auto"/>
            </w:tcBorders>
            <w:gridSpan w:val="5"/>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860" w:type="dxa"/>
            <w:vAlign w:val="bottom"/>
          </w:tcPr>
          <w:p>
            <w:pPr>
              <w:spacing w:after="0"/>
              <w:rPr>
                <w:sz w:val="20"/>
                <w:szCs w:val="20"/>
                <w:color w:val="auto"/>
              </w:rPr>
            </w:pP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ordinary shareholders of UP</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Fintech</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14,690,701</w:t>
            </w:r>
          </w:p>
        </w:tc>
        <w:tc>
          <w:tcPr>
            <w:tcW w:w="30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(2,186,441 )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32,563,525</w:t>
            </w:r>
          </w:p>
        </w:tc>
        <w:tc>
          <w:tcPr>
            <w:tcW w:w="100" w:type="dxa"/>
            <w:vAlign w:val="bottom"/>
          </w:tcPr>
          <w:p>
            <w:pPr>
              <w:spacing w:after="0"/>
              <w:rPr>
                <w:sz w:val="20"/>
                <w:szCs w:val="20"/>
                <w:color w:val="auto"/>
              </w:rPr>
            </w:pPr>
          </w:p>
        </w:tc>
      </w:tr>
      <w:tr>
        <w:trPr>
          <w:trHeight w:val="24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 dilutive effect arising from the convertible bonds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(2,900,645 )</w:t>
            </w:r>
          </w:p>
        </w:tc>
        <w:tc>
          <w:tcPr>
            <w:tcW w:w="226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912,009</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diluted net income (loss) per ordinary share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11,790,056</w:t>
            </w:r>
          </w:p>
        </w:tc>
        <w:tc>
          <w:tcPr>
            <w:tcW w:w="30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(2,186,441 )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33,475,534</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net income (loss)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ordinary share</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2,205,186,257</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2,295,154,791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2,325,338,439</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share options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17,457,965</w:t>
            </w:r>
          </w:p>
        </w:tc>
        <w:tc>
          <w:tcPr>
            <w:tcW w:w="300" w:type="dxa"/>
            <w:vAlign w:val="bottom"/>
            <w:shd w:val="clear" w:color="auto" w:fill="CFF0FC"/>
          </w:tcPr>
          <w:p>
            <w:pPr>
              <w:spacing w:after="0"/>
              <w:rPr>
                <w:sz w:val="21"/>
                <w:szCs w:val="21"/>
                <w:color w:val="auto"/>
              </w:rPr>
            </w:pPr>
          </w:p>
        </w:tc>
        <w:tc>
          <w:tcPr>
            <w:tcW w:w="226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5,440,751</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restricted shares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32,613,976</w:t>
            </w:r>
          </w:p>
        </w:tc>
        <w:tc>
          <w:tcPr>
            <w:tcW w:w="300" w:type="dxa"/>
            <w:vAlign w:val="bottom"/>
          </w:tcPr>
          <w:p>
            <w:pPr>
              <w:spacing w:after="0"/>
              <w:rPr>
                <w:sz w:val="20"/>
                <w:szCs w:val="20"/>
                <w:color w:val="auto"/>
              </w:rPr>
            </w:pPr>
          </w:p>
        </w:tc>
        <w:tc>
          <w:tcPr>
            <w:tcW w:w="2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26,325,143</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80,459,006</w:t>
            </w:r>
          </w:p>
        </w:tc>
        <w:tc>
          <w:tcPr>
            <w:tcW w:w="300" w:type="dxa"/>
            <w:vAlign w:val="bottom"/>
            <w:shd w:val="clear" w:color="auto" w:fill="CFF0FC"/>
          </w:tcPr>
          <w:p>
            <w:pPr>
              <w:spacing w:after="0"/>
              <w:rPr>
                <w:sz w:val="21"/>
                <w:szCs w:val="21"/>
                <w:color w:val="auto"/>
              </w:rPr>
            </w:pPr>
          </w:p>
        </w:tc>
        <w:tc>
          <w:tcPr>
            <w:tcW w:w="226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70,164,498</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Denominator for diluted net income (loss) per ordinary share</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2,335,717,204</w:t>
            </w:r>
          </w:p>
        </w:tc>
        <w:tc>
          <w:tcPr>
            <w:tcW w:w="300" w:type="dxa"/>
            <w:vAlign w:val="bottom"/>
            <w:tcBorders>
              <w:top w:val="single" w:sz="8" w:color="CFF0FC"/>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2,295,154,791</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2,427,268,831</w:t>
            </w:r>
          </w:p>
        </w:tc>
        <w:tc>
          <w:tcPr>
            <w:tcW w:w="100" w:type="dxa"/>
            <w:vAlign w:val="bottom"/>
            <w:tcBorders>
              <w:top w:val="single" w:sz="8" w:color="CFF0FC"/>
            </w:tcBorders>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ordinary share</w:t>
            </w:r>
          </w:p>
        </w:tc>
        <w:tc>
          <w:tcPr>
            <w:tcW w:w="1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-2022475</wp:posOffset>
            </wp:positionV>
            <wp:extent cx="774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-2022475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-633730</wp:posOffset>
            </wp:positionV>
            <wp:extent cx="7747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15.</w:t>
        <w:tab/>
        <w:t>TREASURY STOCK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March 25, 2020, the Company’s Board of Directors approved a share repurchase program. Under the terms of the approved program (“Share Repurchase Program”), the Company may repurchase US$20 million worth of its outstanding ADSs from time to time for a period not to exceed twelve months. As of December 31, 2022 and 2023, an aggregate of 10,429,305 ordinary shares under the Share Repurchase Program has been repurchased in the open market, with an average price of US$3.13 per ADS, or US$0.21 per share for a total consideration of US$2.2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4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80" w:type="dxa"/>
            <w:vAlign w:val="bottom"/>
            <w:tcBorders>
              <w:top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20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Alphalion Technology Holding Limited</w:t>
            </w:r>
          </w:p>
        </w:tc>
        <w:tc>
          <w:tcPr>
            <w:tcW w:w="200" w:type="dxa"/>
            <w:vAlign w:val="bottom"/>
          </w:tcPr>
          <w:p>
            <w:pPr>
              <w:spacing w:after="0"/>
              <w:rPr>
                <w:sz w:val="18"/>
                <w:szCs w:val="18"/>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available-for-sale investee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985,869</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967,772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and its affiliates (“Alphalion Group”) </w:t>
            </w:r>
            <w:r>
              <w:rPr>
                <w:rFonts w:ascii="Times New Roman" w:cs="Times New Roman" w:eastAsia="Times New Roman" w:hAnsi="Times New Roman"/>
                <w:sz w:val="9"/>
                <w:szCs w:val="9"/>
                <w:color w:val="auto"/>
              </w:rPr>
              <w:t>(1)</w:t>
            </w:r>
          </w:p>
        </w:tc>
        <w:tc>
          <w:tcPr>
            <w:tcW w:w="200" w:type="dxa"/>
            <w:vAlign w:val="bottom"/>
          </w:tcPr>
          <w:p>
            <w:pPr>
              <w:spacing w:after="0"/>
              <w:rPr>
                <w:sz w:val="20"/>
                <w:szCs w:val="20"/>
                <w:color w:val="auto"/>
              </w:rPr>
            </w:pPr>
          </w:p>
        </w:tc>
        <w:tc>
          <w:tcPr>
            <w:tcW w:w="3840" w:type="dxa"/>
            <w:vAlign w:val="bottom"/>
            <w:gridSpan w:val="2"/>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 directors and executive</w:t>
            </w:r>
          </w:p>
        </w:tc>
        <w:tc>
          <w:tcPr>
            <w:tcW w:w="200" w:type="dxa"/>
            <w:vAlign w:val="bottom"/>
            <w:shd w:val="clear" w:color="auto" w:fill="CFF0FC"/>
          </w:tcPr>
          <w:p>
            <w:pPr>
              <w:spacing w:after="0"/>
              <w:rPr>
                <w:sz w:val="18"/>
                <w:szCs w:val="18"/>
                <w:color w:val="auto"/>
              </w:rPr>
            </w:pPr>
          </w:p>
        </w:tc>
        <w:tc>
          <w:tcPr>
            <w:tcW w:w="38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or officers of the Group</w:t>
            </w: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3,783,606</w:t>
            </w:r>
          </w:p>
        </w:tc>
        <w:tc>
          <w:tcPr>
            <w:tcW w:w="1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96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officers </w:t>
            </w:r>
            <w:r>
              <w:rPr>
                <w:rFonts w:ascii="Times New Roman" w:cs="Times New Roman" w:eastAsia="Times New Roman" w:hAnsi="Times New Roman"/>
                <w:sz w:val="9"/>
                <w:szCs w:val="9"/>
                <w:color w:val="auto"/>
              </w:rPr>
              <w:t>(2)</w:t>
            </w:r>
          </w:p>
        </w:tc>
        <w:tc>
          <w:tcPr>
            <w:tcW w:w="200" w:type="dxa"/>
            <w:vAlign w:val="bottom"/>
            <w:shd w:val="clear" w:color="auto" w:fill="CFF0FC"/>
          </w:tcPr>
          <w:p>
            <w:pPr>
              <w:spacing w:after="0"/>
              <w:rPr>
                <w:sz w:val="9"/>
                <w:szCs w:val="9"/>
                <w:color w:val="auto"/>
              </w:rPr>
            </w:pPr>
          </w:p>
        </w:tc>
        <w:tc>
          <w:tcPr>
            <w:tcW w:w="3840" w:type="dxa"/>
            <w:vAlign w:val="bottom"/>
            <w:gridSpan w:val="2"/>
            <w:vMerge w:val="continue"/>
            <w:shd w:val="clear" w:color="auto" w:fill="CFF0FC"/>
          </w:tcPr>
          <w:p>
            <w:pPr>
              <w:spacing w:after="0"/>
              <w:rPr>
                <w:sz w:val="9"/>
                <w:szCs w:val="9"/>
                <w:color w:val="auto"/>
              </w:rPr>
            </w:pPr>
          </w:p>
        </w:tc>
        <w:tc>
          <w:tcPr>
            <w:tcW w:w="1460" w:type="dxa"/>
            <w:vAlign w:val="bottom"/>
            <w:vMerge w:val="continue"/>
            <w:shd w:val="clear" w:color="auto" w:fill="CFF0FC"/>
          </w:tcPr>
          <w:p>
            <w:pPr>
              <w:spacing w:after="0"/>
              <w:rPr>
                <w:sz w:val="9"/>
                <w:szCs w:val="9"/>
                <w:color w:val="auto"/>
              </w:rPr>
            </w:pPr>
          </w:p>
        </w:tc>
        <w:tc>
          <w:tcPr>
            <w:tcW w:w="16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tcBorders>
              <w:bottom w:val="single" w:sz="8" w:color="CFF0FC"/>
            </w:tcBorders>
            <w:vMerge w:val="continue"/>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3840" w:type="dxa"/>
            <w:vAlign w:val="bottom"/>
            <w:tcBorders>
              <w:bottom w:val="single" w:sz="8" w:color="CFF0FC"/>
            </w:tcBorders>
            <w:gridSpan w:val="2"/>
            <w:vMerge w:val="continue"/>
            <w:shd w:val="clear" w:color="auto" w:fill="CFF0FC"/>
          </w:tcPr>
          <w:p>
            <w:pPr>
              <w:spacing w:after="0"/>
              <w:rPr>
                <w:sz w:val="10"/>
                <w:szCs w:val="10"/>
                <w:color w:val="auto"/>
              </w:rPr>
            </w:pPr>
          </w:p>
        </w:tc>
        <w:tc>
          <w:tcPr>
            <w:tcW w:w="146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4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4,769,475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7,987,756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752"/>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short-term, interest-free loans provided to Alphalion Group to facilitate its daily operational cash flow needs and prepaid IT service fee as of December 31, 2022 and 2023.</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provided brokerage services and margin loans to its individual directors and executive officers and their spouses during its ordinary courses of business. The amounts represent receivables from directors and executive officers of the Group as of December 31, 2022 and 2023,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2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14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4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3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tc>
        <w:tc>
          <w:tcPr>
            <w:tcW w:w="18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Individual directors and executive officers </w:t>
            </w:r>
            <w:r>
              <w:rPr>
                <w:rFonts w:ascii="Times New Roman" w:cs="Times New Roman" w:eastAsia="Times New Roman" w:hAnsi="Times New Roman"/>
                <w:sz w:val="9"/>
                <w:szCs w:val="9"/>
                <w:color w:val="auto"/>
              </w:rPr>
              <w:t>(3)</w:t>
            </w:r>
          </w:p>
        </w:tc>
        <w:tc>
          <w:tcPr>
            <w:tcW w:w="18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 or officers of the Group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461,704</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10,148,142</w:t>
            </w:r>
          </w:p>
        </w:tc>
        <w:tc>
          <w:tcPr>
            <w:tcW w:w="100" w:type="dxa"/>
            <w:vAlign w:val="bottom"/>
          </w:tcPr>
          <w:p>
            <w:pPr>
              <w:spacing w:after="0"/>
              <w:rPr>
                <w:sz w:val="20"/>
                <w:szCs w:val="20"/>
                <w:color w:val="auto"/>
              </w:rPr>
            </w:pPr>
          </w:p>
        </w:tc>
      </w:tr>
      <w:tr>
        <w:trPr>
          <w:trHeight w:val="281"/>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36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461,704</w:t>
            </w:r>
          </w:p>
        </w:tc>
        <w:tc>
          <w:tcPr>
            <w:tcW w:w="2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b w:val="1"/>
                <w:bCs w:val="1"/>
                <w:color w:val="auto"/>
              </w:rPr>
              <w:t>10,148,142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60" w:right="4480" w:hanging="5452"/>
        <w:spacing w:after="0" w:line="532" w:lineRule="auto"/>
        <w:tabs>
          <w:tab w:leader="none" w:pos="7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cash account balance of directors and executive officers. 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tc>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4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8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Alphalion Group </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21"/>
                <w:szCs w:val="21"/>
                <w:color w:val="auto"/>
              </w:rPr>
            </w:pPr>
          </w:p>
        </w:tc>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available-for-sale investee</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(94,333 )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(135,117 )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(150,360 )</w:t>
            </w: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Ocean Joy Holdings Limited ("Ocean joy")</w:t>
            </w:r>
          </w:p>
        </w:tc>
        <w:tc>
          <w:tcPr>
            <w:tcW w:w="200" w:type="dxa"/>
            <w:vAlign w:val="bottom"/>
          </w:tcPr>
          <w:p>
            <w:pPr>
              <w:spacing w:after="0"/>
              <w:rPr>
                <w:sz w:val="16"/>
                <w:szCs w:val="16"/>
                <w:color w:val="auto"/>
              </w:rPr>
            </w:pPr>
          </w:p>
        </w:tc>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Equity method investee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32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and its subsidiary </w:t>
            </w:r>
            <w:r>
              <w:rPr>
                <w:rFonts w:ascii="Times New Roman" w:cs="Times New Roman" w:eastAsia="Times New Roman" w:hAnsi="Times New Roman"/>
                <w:sz w:val="24"/>
                <w:szCs w:val="24"/>
                <w:color w:val="auto"/>
                <w:vertAlign w:val="superscript"/>
              </w:rPr>
              <w:t>(5)</w:t>
            </w:r>
          </w:p>
        </w:tc>
        <w:tc>
          <w:tcPr>
            <w:tcW w:w="200" w:type="dxa"/>
            <w:vAlign w:val="bottom"/>
          </w:tcPr>
          <w:p>
            <w:pPr>
              <w:spacing w:after="0"/>
              <w:rPr>
                <w:sz w:val="23"/>
                <w:szCs w:val="23"/>
                <w:color w:val="auto"/>
              </w:rPr>
            </w:pPr>
          </w:p>
        </w:tc>
        <w:tc>
          <w:tcPr>
            <w:tcW w:w="4120" w:type="dxa"/>
            <w:vAlign w:val="bottom"/>
            <w:gridSpan w:val="2"/>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Ocean Joy and its subsidiary </w:t>
            </w:r>
            <w:r>
              <w:rPr>
                <w:rFonts w:ascii="Times New Roman" w:cs="Times New Roman" w:eastAsia="Times New Roman" w:hAnsi="Times New Roman"/>
                <w:sz w:val="24"/>
                <w:szCs w:val="24"/>
                <w:color w:val="auto"/>
                <w:vertAlign w:val="superscript"/>
              </w:rPr>
              <w:t>(6)</w:t>
            </w:r>
          </w:p>
        </w:tc>
        <w:tc>
          <w:tcPr>
            <w:tcW w:w="200" w:type="dxa"/>
            <w:vAlign w:val="bottom"/>
            <w:shd w:val="clear" w:color="auto" w:fill="CFF0FC"/>
          </w:tcPr>
          <w:p>
            <w:pPr>
              <w:spacing w:after="0"/>
              <w:rPr>
                <w:sz w:val="21"/>
                <w:szCs w:val="21"/>
                <w:color w:val="auto"/>
              </w:rPr>
            </w:pPr>
          </w:p>
        </w:tc>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investee</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(686,576 )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Interactive Brokers LLC </w:t>
            </w:r>
            <w:r>
              <w:rPr>
                <w:rFonts w:ascii="Times New Roman" w:cs="Times New Roman" w:eastAsia="Times New Roman" w:hAnsi="Times New Roman"/>
                <w:sz w:val="24"/>
                <w:szCs w:val="24"/>
                <w:color w:val="auto"/>
                <w:vertAlign w:val="superscript"/>
              </w:rPr>
              <w:t>(7)</w:t>
            </w:r>
          </w:p>
        </w:tc>
        <w:tc>
          <w:tcPr>
            <w:tcW w:w="200" w:type="dxa"/>
            <w:vAlign w:val="bottom"/>
          </w:tcPr>
          <w:p>
            <w:pPr>
              <w:spacing w:after="0"/>
              <w:rPr>
                <w:sz w:val="24"/>
                <w:szCs w:val="24"/>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 common control with a principal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73,293,370</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9,727,350</w:t>
            </w:r>
          </w:p>
        </w:tc>
        <w:tc>
          <w:tcPr>
            <w:tcW w:w="12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shareholder of the Company</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91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Interactive Brokers LLC </w:t>
      </w:r>
      <w:r>
        <w:rPr>
          <w:rFonts w:ascii="Times New Roman" w:cs="Times New Roman" w:eastAsia="Times New Roman" w:hAnsi="Times New Roman"/>
          <w:sz w:val="23"/>
          <w:szCs w:val="23"/>
          <w:color w:val="auto"/>
          <w:vertAlign w:val="superscript"/>
        </w:rPr>
        <w:t>(8)</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Individual directors and</w:t>
      </w:r>
    </w:p>
    <w:p>
      <w:pPr>
        <w:ind w:left="120"/>
        <w:spacing w:after="0" w:line="229" w:lineRule="auto"/>
        <w:rPr>
          <w:sz w:val="20"/>
          <w:szCs w:val="20"/>
          <w:color w:val="auto"/>
        </w:rPr>
      </w:pPr>
      <w:r>
        <w:rPr>
          <w:rFonts w:ascii="Times New Roman" w:cs="Times New Roman" w:eastAsia="Times New Roman" w:hAnsi="Times New Roman"/>
          <w:sz w:val="18"/>
          <w:szCs w:val="18"/>
          <w:color w:val="auto"/>
        </w:rPr>
        <w:t xml:space="preserve">executive officers </w:t>
      </w:r>
      <w:r>
        <w:rPr>
          <w:rFonts w:ascii="Times New Roman" w:cs="Times New Roman" w:eastAsia="Times New Roman" w:hAnsi="Times New Roman"/>
          <w:sz w:val="24"/>
          <w:szCs w:val="24"/>
          <w:color w:val="auto"/>
          <w:vertAlign w:val="superscript"/>
        </w:rPr>
        <w:t>(9)</w:t>
      </w:r>
    </w:p>
    <w:p>
      <w:pPr>
        <w:ind w:left="120" w:right="780" w:hanging="89"/>
        <w:spacing w:after="0" w:line="232" w:lineRule="auto"/>
        <w:rPr>
          <w:sz w:val="20"/>
          <w:szCs w:val="20"/>
          <w:color w:val="auto"/>
        </w:rPr>
      </w:pPr>
      <w:r>
        <w:rPr>
          <w:rFonts w:ascii="Times New Roman" w:cs="Times New Roman" w:eastAsia="Times New Roman" w:hAnsi="Times New Roman"/>
          <w:sz w:val="18"/>
          <w:szCs w:val="18"/>
          <w:color w:val="auto"/>
        </w:rPr>
        <w:t xml:space="preserve">Xiaomi Corporation and its affiliates </w:t>
      </w:r>
      <w:r>
        <w:rPr>
          <w:rFonts w:ascii="Times New Roman" w:cs="Times New Roman" w:eastAsia="Times New Roman" w:hAnsi="Times New Roman"/>
          <w:sz w:val="24"/>
          <w:szCs w:val="24"/>
          <w:color w:val="auto"/>
          <w:vertAlign w:val="superscript"/>
        </w:rPr>
        <w:t>(10)</w:t>
      </w:r>
    </w:p>
    <w:p>
      <w:pPr>
        <w:spacing w:after="0" w:line="1" w:lineRule="exact"/>
        <w:rPr>
          <w:sz w:val="20"/>
          <w:szCs w:val="20"/>
          <w:color w:val="auto"/>
        </w:rPr>
      </w:pPr>
    </w:p>
    <w:p>
      <w:pPr>
        <w:ind w:left="120" w:right="780" w:hanging="89"/>
        <w:spacing w:after="0" w:line="248" w:lineRule="auto"/>
        <w:rPr>
          <w:sz w:val="20"/>
          <w:szCs w:val="20"/>
          <w:color w:val="auto"/>
        </w:rPr>
      </w:pPr>
      <w:r>
        <w:rPr>
          <w:rFonts w:ascii="Times New Roman" w:cs="Times New Roman" w:eastAsia="Times New Roman" w:hAnsi="Times New Roman"/>
          <w:sz w:val="18"/>
          <w:szCs w:val="18"/>
          <w:color w:val="auto"/>
        </w:rPr>
        <w:t xml:space="preserve">Xiaomi Corporation and its affiliates </w:t>
      </w:r>
      <w:r>
        <w:rPr>
          <w:rFonts w:ascii="Times New Roman" w:cs="Times New Roman" w:eastAsia="Times New Roman" w:hAnsi="Times New Roman"/>
          <w:sz w:val="24"/>
          <w:szCs w:val="24"/>
          <w:color w:val="auto"/>
          <w:vertAlign w:val="superscript"/>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Under common control with a principal</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shareholder of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or officers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94615</wp:posOffset>
            </wp:positionV>
            <wp:extent cx="7132320" cy="291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shareholder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shareholder of the Company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1240" w:val="left"/>
          <w:tab w:leader="none" w:pos="2980" w:val="left"/>
        </w:tabs>
        <w:rPr>
          <w:sz w:val="20"/>
          <w:szCs w:val="20"/>
          <w:color w:val="auto"/>
        </w:rPr>
      </w:pPr>
      <w:r>
        <w:rPr>
          <w:rFonts w:ascii="Times New Roman" w:cs="Times New Roman" w:eastAsia="Times New Roman" w:hAnsi="Times New Roman"/>
          <w:sz w:val="18"/>
          <w:szCs w:val="18"/>
          <w:color w:val="auto"/>
        </w:rPr>
        <w:t>(16,823,850 )</w:t>
      </w:r>
      <w:r>
        <w:rPr>
          <w:sz w:val="20"/>
          <w:szCs w:val="20"/>
          <w:color w:val="auto"/>
        </w:rPr>
        <w:tab/>
      </w:r>
      <w:r>
        <w:rPr>
          <w:rFonts w:ascii="Times New Roman" w:cs="Times New Roman" w:eastAsia="Times New Roman" w:hAnsi="Times New Roman"/>
          <w:sz w:val="18"/>
          <w:szCs w:val="18"/>
          <w:color w:val="auto"/>
        </w:rPr>
        <w:t>(1,751,505 )</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280"/>
        <w:spacing w:after="0"/>
        <w:tabs>
          <w:tab w:leader="none" w:pos="1420" w:val="left"/>
          <w:tab w:leader="none" w:pos="2440" w:val="left"/>
        </w:tabs>
        <w:rPr>
          <w:sz w:val="20"/>
          <w:szCs w:val="20"/>
          <w:color w:val="auto"/>
        </w:rPr>
      </w:pPr>
      <w:r>
        <w:rPr>
          <w:rFonts w:ascii="Times New Roman" w:cs="Times New Roman" w:eastAsia="Times New Roman" w:hAnsi="Times New Roman"/>
          <w:sz w:val="18"/>
          <w:szCs w:val="18"/>
          <w:color w:val="auto"/>
        </w:rPr>
        <w:t>138,661</w:t>
      </w:r>
      <w:r>
        <w:rPr>
          <w:sz w:val="20"/>
          <w:szCs w:val="20"/>
          <w:color w:val="auto"/>
        </w:rPr>
        <w:tab/>
      </w:r>
      <w:r>
        <w:rPr>
          <w:rFonts w:ascii="Times New Roman" w:cs="Times New Roman" w:eastAsia="Times New Roman" w:hAnsi="Times New Roman"/>
          <w:sz w:val="18"/>
          <w:szCs w:val="18"/>
          <w:color w:val="auto"/>
        </w:rPr>
        <w:t>147,662</w:t>
      </w:r>
      <w:r>
        <w:rPr>
          <w:sz w:val="20"/>
          <w:szCs w:val="20"/>
          <w:color w:val="auto"/>
        </w:rPr>
        <w:tab/>
      </w:r>
      <w:r>
        <w:rPr>
          <w:rFonts w:ascii="Times New Roman" w:cs="Times New Roman" w:eastAsia="Times New Roman" w:hAnsi="Times New Roman"/>
          <w:sz w:val="18"/>
          <w:szCs w:val="18"/>
          <w:color w:val="auto"/>
        </w:rPr>
        <w:t>1,501,351</w:t>
      </w:r>
    </w:p>
    <w:p>
      <w:pPr>
        <w:spacing w:after="0" w:line="252" w:lineRule="exact"/>
        <w:rPr>
          <w:sz w:val="20"/>
          <w:szCs w:val="20"/>
          <w:color w:val="auto"/>
        </w:rPr>
      </w:pPr>
    </w:p>
    <w:p>
      <w:pPr>
        <w:ind w:left="160"/>
        <w:spacing w:after="0"/>
        <w:tabs>
          <w:tab w:leader="none" w:pos="1840" w:val="left"/>
          <w:tab w:leader="none" w:pos="2980" w:val="left"/>
        </w:tabs>
        <w:rPr>
          <w:sz w:val="20"/>
          <w:szCs w:val="20"/>
          <w:color w:val="auto"/>
        </w:rPr>
      </w:pPr>
      <w:r>
        <w:rPr>
          <w:rFonts w:ascii="Times New Roman" w:cs="Times New Roman" w:eastAsia="Times New Roman" w:hAnsi="Times New Roman"/>
          <w:sz w:val="18"/>
          <w:szCs w:val="18"/>
          <w:color w:val="auto"/>
        </w:rPr>
        <w:t>2,860,123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220"/>
        <w:spacing w:after="0"/>
        <w:tabs>
          <w:tab w:leader="none" w:pos="1840" w:val="left"/>
          <w:tab w:leader="none" w:pos="2980" w:val="left"/>
        </w:tabs>
        <w:rPr>
          <w:sz w:val="20"/>
          <w:szCs w:val="20"/>
          <w:color w:val="auto"/>
        </w:rPr>
      </w:pPr>
      <w:r>
        <w:rPr>
          <w:rFonts w:ascii="Times New Roman" w:cs="Times New Roman" w:eastAsia="Times New Roman" w:hAnsi="Times New Roman"/>
          <w:sz w:val="18"/>
          <w:szCs w:val="18"/>
          <w:color w:val="auto"/>
        </w:rPr>
        <w:t>(350,519 )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sectPr>
          <w:pgSz w:w="11900" w:h="16838" w:orient="portrait"/>
          <w:cols w:equalWidth="0" w:num="3">
            <w:col w:w="2780" w:space="720"/>
            <w:col w:w="3720" w:space="720"/>
            <w:col w:w="3300"/>
          </w:cols>
          <w:pgMar w:left="320" w:top="121" w:right="339" w:bottom="1440" w:gutter="0" w:footer="0" w:header="0"/>
          <w:type w:val="continuous"/>
        </w:sectPr>
      </w:pPr>
    </w:p>
    <w:p>
      <w:pPr>
        <w:ind w:left="760" w:hanging="752"/>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purchase of IT services from Alphalion Group for the years ended December 31, 2021, 2022 and 2023, respectively.</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the Company completed the acquisition of Ocean Joy and its sole subsidiary Tiger Brokers HK which is licensed by the SFC in Hong Kong to carry on business dealing in securities and futures contracts. The amounts represent the commissions and interest income earned from Tiger Brokers HK for periods from June to December of 2020 and January to October of 2021 (before the completion of acquisition).</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execution and clearing fees paid to Tiger Brokers HK for periods from June to December of 2020 and January to October of 2021 (before the completion of acquisition). In October 2021, the Company completed the acquisition of Ocean Joy.</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commissions, financing service fees, interest income and other revenues earned from Interactive Brokers for the years ended 2021, and the period from January to March of 2022, respectively, netting off interest expense incurred from margin, security borrowing and lending business. Due to the resignation of the director assigned by Interactive Brokers in March 2022, Interactive Brokers LLC was no longer considered a related party since then.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 (Continued)</w:t>
      </w:r>
    </w:p>
    <w:p>
      <w:pPr>
        <w:spacing w:after="0" w:line="229" w:lineRule="exact"/>
        <w:rPr>
          <w:sz w:val="20"/>
          <w:szCs w:val="20"/>
          <w:color w:val="auto"/>
        </w:rPr>
      </w:pPr>
    </w:p>
    <w:p>
      <w:pPr>
        <w:jc w:val="both"/>
        <w:ind w:left="760" w:hanging="752"/>
        <w:spacing w:after="0" w:line="266"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execution and clearing fees paid to Interactive Brokers for the years ended December 31, 2021, and the period from January to March of 2022, respectively. Due to the resignation of the director assigned by Interactive Brokers in March 2022, Interactive Brokers LLC was no longer considered a related party since then.</w:t>
      </w:r>
    </w:p>
    <w:p>
      <w:pPr>
        <w:spacing w:after="0" w:line="175"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commissions and interest income earned by providing brokerage services and margin loans to the individual directors and executive officers during its ordinary courses of business for the years ended December 31, 2021, 2022 and 2023, respectively.</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changes in the fair value of the convertible bonds issued to Xiaomi Corporation and its affiliates during the year ended December 31, 2021 (Note 9). In January 2022, Xiaomi Corporation waived its right to participate in the financial and operational decision-making of the Company and was no longer considered a related party since then.</w:t>
      </w:r>
    </w:p>
    <w:p>
      <w:pPr>
        <w:spacing w:after="0" w:line="17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interest expense of the convertible bonds issued to Xiaomi Corporation and its affiliates accreted at an effective interest rate of 5.4% for the year ended December 31, 2021 (Note 9). In January 2022, Xiaomi Corporation waived its right to participate in the financial and operational decision-making of the Company and was no longer considered a related party since then.</w:t>
      </w:r>
    </w:p>
    <w:p>
      <w:pPr>
        <w:spacing w:after="0" w:line="172" w:lineRule="exact"/>
        <w:rPr>
          <w:sz w:val="20"/>
          <w:szCs w:val="20"/>
          <w:color w:val="auto"/>
        </w:rPr>
      </w:pPr>
    </w:p>
    <w:p>
      <w:pPr>
        <w:ind w:left="440" w:hanging="432"/>
        <w:spacing w:after="0"/>
        <w:tabs>
          <w:tab w:leader="none" w:pos="4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COLLATERALIZED TRANSACTIONS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The Group accepted collateral in connection with client margin loans and security borrowing and lending transactions for consolidated account customers. The Group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w:t>
      </w:r>
      <w:r>
        <w:rPr>
          <w:rFonts w:ascii="Times New Roman" w:cs="Times New Roman" w:eastAsia="Times New Roman" w:hAnsi="Times New Roman"/>
          <w:sz w:val="18"/>
          <w:szCs w:val="18"/>
          <w:color w:val="000000"/>
        </w:rPr>
        <w:t>Pursuant to the authorization obtained from margin clients,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Group further repledges the collaterals to other financial institutions to obtain the funding for the margin transactions.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Margin loans are extended to customers on demand and are not committed facilities. Underlying collateral for margin loans is evaluated with respect to the liquidity of the collateral positions, valuation of securities, volatility analysis and an evaluation of industry concentrations. The Group’s collateral policies minimize the Group’s credit exposure to margin loans in the event of a customer’s default.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Group’s securities borrowing and lending transactions which require to deposit cash collateral with the securities lenders and receive the cash collateral from the borrowers, the cash collateral is generally in excess of the market value of the securities borrowed and lent. The Group monitors the market value of securities borrowed and lent on a daily basis, with additional collateral obtained or refunded as permitted contractually.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amounts related to collateralized transactions as of December 31, 2022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60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4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4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client margin asset</w:t>
            </w:r>
          </w:p>
        </w:tc>
        <w:tc>
          <w:tcPr>
            <w:tcW w:w="34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3,317,028,071</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5,760,418,260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75"/>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Fulfillment of client margin financings</w:t>
            </w: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68,484,571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46,720,095</w:t>
            </w:r>
          </w:p>
        </w:tc>
        <w:tc>
          <w:tcPr>
            <w:tcW w:w="100" w:type="dxa"/>
            <w:vAlign w:val="bottom"/>
          </w:tcPr>
          <w:p>
            <w:pPr>
              <w:spacing w:after="0"/>
              <w:rPr>
                <w:sz w:val="24"/>
                <w:szCs w:val="24"/>
                <w:color w:val="auto"/>
              </w:rPr>
            </w:pPr>
          </w:p>
        </w:tc>
      </w:tr>
      <w:tr>
        <w:trPr>
          <w:trHeight w:val="250"/>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Fulfillment of client short sales</w:t>
            </w:r>
          </w:p>
        </w:tc>
        <w:tc>
          <w:tcPr>
            <w:tcW w:w="5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35,430,753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58,876,336</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lending to other brokers</w:t>
            </w:r>
          </w:p>
        </w:tc>
        <w:tc>
          <w:tcPr>
            <w:tcW w:w="34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923,830,433</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1,330,623,661</w:t>
            </w:r>
          </w:p>
        </w:tc>
        <w:tc>
          <w:tcPr>
            <w:tcW w:w="100" w:type="dxa"/>
            <w:vAlign w:val="bottom"/>
          </w:tcPr>
          <w:p>
            <w:pPr>
              <w:spacing w:after="0"/>
              <w:rPr>
                <w:sz w:val="20"/>
                <w:szCs w:val="20"/>
                <w:color w:val="auto"/>
              </w:rPr>
            </w:pPr>
          </w:p>
        </w:tc>
      </w:tr>
      <w:tr>
        <w:trPr>
          <w:trHeight w:val="278"/>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collateral repledged</w:t>
            </w:r>
          </w:p>
        </w:tc>
        <w:tc>
          <w:tcPr>
            <w:tcW w:w="342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1,027,745,757</w:t>
            </w: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1,436,220,092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1"/>
        </w:trPr>
        <w:tc>
          <w:tcPr>
            <w:tcW w:w="4220" w:type="dxa"/>
            <w:vAlign w:val="bottom"/>
          </w:tcPr>
          <w:p>
            <w:pPr>
              <w:spacing w:after="0"/>
              <w:rPr>
                <w:sz w:val="24"/>
                <w:szCs w:val="24"/>
                <w:color w:val="auto"/>
              </w:rPr>
            </w:pPr>
          </w:p>
        </w:tc>
        <w:tc>
          <w:tcPr>
            <w:tcW w:w="506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F-51</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-1722120</wp:posOffset>
            </wp:positionV>
            <wp:extent cx="685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leases consist of operating leases for corporate offices, data centers, and other facilities. The Group determines if an arrangement is a lease at inception. Some lease agreements contain lease and non-lease components, which the Group choose to account for as separate components. The allocation of the consideration between the lease and the non-lease components is based on the relative stand-alone prices of lease components included in the lease contracts. As of December 31, 2023, the Group had no long-term leases that were classified as a financing lease. As of December 31, 2023, the operating leases that have not yet commenced is immaterial. The arrangements of remaining lease terms are one year to five years. Total lease expenses for the year ended December 31, 2022 and 2023 was US$5,967,113 and US$6,337,447, which were recorded in occupancy, depreciation and amortization on the consolidated statements of comprehensive income (loss). The Group classifies operating lease payments as cash outflows for operating activities in the statement of cash flows. The Group presents the reduction in the carrying amount of the right-of-use assets and the change in operating lease liabilities as two adjustments to net income and changes in net assets in the reconciliation of net income to net cash flows from operating activities.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balances reported in the consolidated balance sheets related to the Group’s leases: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Pr>
          <w:p>
            <w:pPr>
              <w:spacing w:after="0"/>
              <w:rPr>
                <w:sz w:val="21"/>
                <w:szCs w:val="21"/>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41"/>
        </w:trPr>
        <w:tc>
          <w:tcPr>
            <w:tcW w:w="7640" w:type="dxa"/>
            <w:vAlign w:val="bottom"/>
          </w:tcPr>
          <w:p>
            <w:pPr>
              <w:spacing w:after="0"/>
              <w:rPr>
                <w:sz w:val="20"/>
                <w:szCs w:val="20"/>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7640" w:type="dxa"/>
            <w:vAlign w:val="bottom"/>
          </w:tcPr>
          <w:p>
            <w:pPr>
              <w:spacing w:after="0"/>
              <w:rPr>
                <w:sz w:val="20"/>
                <w:szCs w:val="20"/>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13,960,092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9,067,885</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13,880,156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8,911,017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lease expenses and short-term lease expenses reported in the consolidated statements of comprehensive income (loss) related to the Group’s leases: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41"/>
        </w:trPr>
        <w:tc>
          <w:tcPr>
            <w:tcW w:w="36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expenses</w:t>
            </w:r>
          </w:p>
        </w:tc>
        <w:tc>
          <w:tcPr>
            <w:tcW w:w="5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5,608,890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5,681,600</w:t>
            </w:r>
          </w:p>
        </w:tc>
        <w:tc>
          <w:tcPr>
            <w:tcW w:w="100" w:type="dxa"/>
            <w:vAlign w:val="bottom"/>
            <w:shd w:val="clear" w:color="auto" w:fill="CFF0FC"/>
          </w:tcPr>
          <w:p>
            <w:pPr>
              <w:spacing w:after="0"/>
              <w:rPr>
                <w:sz w:val="21"/>
                <w:szCs w:val="2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expenses</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358,223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655,847</w:t>
            </w:r>
          </w:p>
        </w:tc>
        <w:tc>
          <w:tcPr>
            <w:tcW w:w="100" w:type="dxa"/>
            <w:vAlign w:val="bottom"/>
          </w:tcPr>
          <w:p>
            <w:pPr>
              <w:spacing w:after="0"/>
              <w:rPr>
                <w:sz w:val="20"/>
                <w:szCs w:val="20"/>
                <w:color w:val="auto"/>
              </w:rPr>
            </w:pPr>
          </w:p>
        </w:tc>
      </w:tr>
      <w:tr>
        <w:trPr>
          <w:trHeight w:val="657"/>
        </w:trPr>
        <w:tc>
          <w:tcPr>
            <w:tcW w:w="3680" w:type="dxa"/>
            <w:vAlign w:val="bottom"/>
          </w:tcPr>
          <w:p>
            <w:pPr>
              <w:spacing w:after="0"/>
              <w:rPr>
                <w:sz w:val="24"/>
                <w:szCs w:val="24"/>
                <w:color w:val="auto"/>
              </w:rPr>
            </w:pPr>
          </w:p>
        </w:tc>
        <w:tc>
          <w:tcPr>
            <w:tcW w:w="560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F-52</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Lease (Continued)</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is as follows:</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640" w:type="dxa"/>
            <w:vAlign w:val="bottom"/>
          </w:tcPr>
          <w:p>
            <w:pPr>
              <w:spacing w:after="0"/>
              <w:rPr>
                <w:sz w:val="24"/>
                <w:szCs w:val="24"/>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41"/>
        </w:trPr>
        <w:tc>
          <w:tcPr>
            <w:tcW w:w="7640" w:type="dxa"/>
            <w:vAlign w:val="bottom"/>
          </w:tcPr>
          <w:p>
            <w:pPr>
              <w:spacing w:after="0"/>
              <w:rPr>
                <w:sz w:val="20"/>
                <w:szCs w:val="20"/>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7640" w:type="dxa"/>
            <w:vAlign w:val="bottom"/>
          </w:tcPr>
          <w:p>
            <w:pPr>
              <w:spacing w:after="0"/>
              <w:rPr>
                <w:sz w:val="20"/>
                <w:szCs w:val="20"/>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5,801,369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6,357,265</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right-of-use assets in exchange for new lease obligations:</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12,918,892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1,021,178</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4 years</w:t>
            </w: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for the annual periods ended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 and after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p>
      <w:pPr>
        <w:spacing w:after="0" w:line="27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The terms of the leases do not contain contingent rents.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28575</wp:posOffset>
            </wp:positionV>
            <wp:extent cx="13030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28575</wp:posOffset>
            </wp:positionV>
            <wp:extent cx="7132320" cy="15430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4,435,309</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2,045,315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-127635</wp:posOffset>
            </wp:positionV>
            <wp:extent cx="7132320" cy="154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1,735,201</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1,049,676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-127635</wp:posOffset>
            </wp:positionV>
            <wp:extent cx="7132320" cy="1543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328,861</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-127635</wp:posOffset>
            </wp:positionV>
            <wp:extent cx="7132320" cy="1625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9,594,362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26035</wp:posOffset>
            </wp:positionV>
            <wp:extent cx="130302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(683,345 )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-127635</wp:posOffset>
            </wp:positionV>
            <wp:extent cx="7132320" cy="1625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8,911,017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28575</wp:posOffset>
            </wp:positionV>
            <wp:extent cx="130302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4">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45720</wp:posOffset>
            </wp:positionV>
            <wp:extent cx="13030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484505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5780"/>
          </w:cols>
          <w:pgMar w:left="320" w:top="121" w:right="33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did not have any significant capital or other commitments, long-term obligations, or guarantees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Securities Regulatory Commission (“CSRC”) Notice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December 30, 2022, China Securities Regulatory Commission (“CSRC”) issued a notice, or CSRC 1230 Notice, stating that the Group had been carried out cross-border securities business for Chinese mainland investors without approval from the CSRC, and such activities constitute illegal operation of securities business under the Securities Law of the PRC. The CSRC 1230 Notice set out two principal rectification requirements: (i) the Group should stop all incremental illegal operations in Chinese mainland, such as soliciting and developing any new Chinese mainland customers or opening new securities accounts for such customers; and (ii) the Group should properly handle the existing accounts held by Chinese mainland investors by allowing them to continue their transactions through such accounts. However, the Group is strictly prohibited from accepting any incremental funds that violate PRC foreign exchange regulations to such existing accounts.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15, 2023, the CSRC published its official reply in response to the public attention on the CSRC 1230 Notice, emphasizing its core requirements of “prohibiting incremental illegal business effectively and solving existing issues properly” in relation to its supervision and regulation of our business operations in Chinese mainland.</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has been actively in cooperation with CSRC to satisfy 1230 Notice and meet the rectification requirements set out under CSRC 1230 Notice. Starting from May 18, 2023, the Group’s APP “Tiger International” has been removed from the PRC application market. Besides, the Group cannot rule out the possibility that it may take the initiative to adopt applicable rectification measures in the future to further curb incremental Chinese mainland domestic users and meet the requirements of the CSRC.</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According to ASC 450-20-25-2, an estimated loss from a loss contingency shall be accrued when information available before the financial statements are issued or are available to be issued indicates that it is probable that an asset had been impaired or a liability had been incurred at the date of the financial statements, and the amount of loss can be reasonably estimated. The management has concluded that the conditions in paragraph 450-20-25-2 have not been met. As of December 31, 2022 and 2023, no provision has been made by the Group for the aforementioned potential loss contingency.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REQUIREMENT</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broker-dealer subsidiaries, TradeUP Securities, US Tiger Securities, Tiger Brokers SG, Tiger Brokers HK, and TBAU are subject to capital requirements determined by its respective regulators.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TradeUP Securities and US Tiger Securities, the Company’s USA subsidiaries, are subject to the Uniform Net Capital Rule (Rule 15c3-1) under the Exchange Act in the USA, which requires the maintenance of minimum net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Tiger Brokers SG, the Company’s Singapore subsidiary, is subject to the Securities and Futures Regulations 2018 (Amendment) under Chapter 289 of Securities and Futures Act in Singapore, which requires the maintenance of minimum net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Tiger Brokers HK, the Company’s Hong Kong subsidiary, is subject to Securities and Futures (Financial Resources) Rules and the Securities and Futures Ordinance, Tiger Brokers HK is required to maintain minimum paid-up share capital and liquid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TBAU, the Company’s Australia subsidiary, is subject to s912A(1)(d) of the Corporations Act 2001 in Australia, which requires the maintenance of minimum net capital.</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and 2023, all of the Company’s broker-dealer subsidiaries met applicable minimum net capital requirements. The tables below summaries the net capital, the capital requirement and the excess net capital for the Company’s broker-dealer subsidiaries as of December 31, 2022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Net Capital</w:t>
            </w:r>
          </w:p>
        </w:tc>
        <w:tc>
          <w:tcPr>
            <w:tcW w:w="180" w:type="dxa"/>
            <w:vAlign w:val="bottom"/>
          </w:tcPr>
          <w:p>
            <w:pPr>
              <w:spacing w:after="0"/>
              <w:rPr>
                <w:sz w:val="21"/>
                <w:szCs w:val="21"/>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60" w:type="dxa"/>
            <w:vAlign w:val="bottom"/>
          </w:tcPr>
          <w:p>
            <w:pPr>
              <w:spacing w:after="0"/>
              <w:rPr>
                <w:sz w:val="21"/>
                <w:szCs w:val="21"/>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r>
      <w:tr>
        <w:trPr>
          <w:trHeight w:val="24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20"/>
                <w:szCs w:val="20"/>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20"/>
                <w:szCs w:val="20"/>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4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158,727,445</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11,128,558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147,598,887</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146,700,328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32,048,750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114,651,578</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21,565,377</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3,878,298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17,687,079</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5,951,945</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5,701,945</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2,165,288</w:t>
            </w:r>
          </w:p>
        </w:tc>
        <w:tc>
          <w:tcPr>
            <w:tcW w:w="18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174,997</w:t>
            </w:r>
          </w:p>
        </w:tc>
        <w:tc>
          <w:tcPr>
            <w:tcW w:w="16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1,990,291</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335,110,383</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47,480,603</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287,629,780</w:t>
            </w: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462"/>
        </w:trPr>
        <w:tc>
          <w:tcPr>
            <w:tcW w:w="4080" w:type="dxa"/>
            <w:vAlign w:val="bottom"/>
          </w:tcPr>
          <w:p>
            <w:pPr>
              <w:spacing w:after="0"/>
              <w:rPr>
                <w:sz w:val="24"/>
                <w:szCs w:val="24"/>
                <w:color w:val="auto"/>
              </w:rPr>
            </w:pP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Net Capital</w:t>
            </w:r>
          </w:p>
        </w:tc>
        <w:tc>
          <w:tcPr>
            <w:tcW w:w="180" w:type="dxa"/>
            <w:vAlign w:val="bottom"/>
          </w:tcPr>
          <w:p>
            <w:pPr>
              <w:spacing w:after="0"/>
              <w:rPr>
                <w:sz w:val="24"/>
                <w:szCs w:val="24"/>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60" w:type="dxa"/>
            <w:vAlign w:val="bottom"/>
          </w:tcPr>
          <w:p>
            <w:pPr>
              <w:spacing w:after="0"/>
              <w:rPr>
                <w:sz w:val="24"/>
                <w:szCs w:val="24"/>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r>
      <w:tr>
        <w:trPr>
          <w:trHeight w:val="24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20"/>
                <w:szCs w:val="20"/>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20"/>
                <w:szCs w:val="20"/>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4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137,305,133</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9,057,010</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128,248,123</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110,726,224</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17,181,893</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93,544,331</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13,014,036</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384,541</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12,629,495</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8,705,756</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8,455,756</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901,785</w:t>
            </w:r>
          </w:p>
        </w:tc>
        <w:tc>
          <w:tcPr>
            <w:tcW w:w="18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124,789</w:t>
            </w:r>
          </w:p>
        </w:tc>
        <w:tc>
          <w:tcPr>
            <w:tcW w:w="16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776,996</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270,652,934</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26,998,233</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243,654,701</w:t>
            </w: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631"/>
        </w:trPr>
        <w:tc>
          <w:tcPr>
            <w:tcW w:w="4080" w:type="dxa"/>
            <w:vAlign w:val="bottom"/>
          </w:tcPr>
          <w:p>
            <w:pPr>
              <w:spacing w:after="0"/>
              <w:rPr>
                <w:sz w:val="24"/>
                <w:szCs w:val="24"/>
                <w:color w:val="auto"/>
              </w:rPr>
            </w:pP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F-55</w:t>
            </w: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-2527935</wp:posOffset>
            </wp:positionV>
            <wp:extent cx="11112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-2527935</wp:posOffset>
            </wp:positionV>
            <wp:extent cx="10287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-1096645</wp:posOffset>
            </wp:positionV>
            <wp:extent cx="11112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-1096645</wp:posOffset>
            </wp:positionV>
            <wp:extent cx="10287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88" w:lineRule="exact"/>
        <w:rPr>
          <w:sz w:val="20"/>
          <w:szCs w:val="20"/>
          <w:color w:val="auto"/>
        </w:rPr>
      </w:pPr>
    </w:p>
    <w:p>
      <w:pPr>
        <w:jc w:val="both"/>
        <w:ind w:firstLine="749"/>
        <w:spacing w:after="0" w:line="228" w:lineRule="exact"/>
        <w:rPr>
          <w:sz w:val="20"/>
          <w:szCs w:val="20"/>
          <w:color w:val="auto"/>
        </w:rPr>
      </w:pPr>
      <w:r>
        <w:rPr>
          <w:rFonts w:ascii="Times New Roman" w:cs="Times New Roman" w:eastAsia="Times New Roman" w:hAnsi="Times New Roman"/>
          <w:sz w:val="18"/>
          <w:szCs w:val="18"/>
          <w:color w:val="auto"/>
        </w:rPr>
        <w:t>Full time PRC employees of the Group are eligible to participate in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mandated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defined contribution plan under which certain pension benefits, medical care, unemployment insurance and employee housing fund are provided to these employees. The PRC labor regulations require the Group to accrue for these benefits based on a percentage of each employee’s salary income. Total provisions for employee benefits were US$11,121,724, US$12,607,769 and US$12,336,035 for the years ended December 31, 2021, 2022 and 2023, respectively, reported as a component of salary and compensation expenses when incurred.</w:t>
      </w:r>
    </w:p>
    <w:p>
      <w:pPr>
        <w:spacing w:after="0" w:line="194" w:lineRule="exact"/>
        <w:rPr>
          <w:sz w:val="20"/>
          <w:szCs w:val="20"/>
          <w:color w:val="auto"/>
        </w:rPr>
      </w:pPr>
    </w:p>
    <w:p>
      <w:pPr>
        <w:ind w:left="440" w:hanging="432"/>
        <w:spacing w:after="0"/>
        <w:tabs>
          <w:tab w:leader="none" w:pos="4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In accordance with the PRC laws and regulations, the Group’s subsidiaries located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 (as determined under accounting principles generally accepted in China at each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Group’s subsidiaries, affiliated PRC entities and their respective subsidiaries. The Group’s subsidiaries are required to allocate at least 10% of their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to the general reserve until such reserve has reached 50% of their respective registered capital.</w:t>
      </w:r>
    </w:p>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Beijing U-Tiger Business made appropriation to these statutory reserve funds of US$724,008 due to the profit position, which reached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Hangzhou U-Tiger made appropriation to these statutory reserve funds of US$67,000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Beijing Yiyi made appropriation to these statutory reserve funds of US$280,624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2021, 2022 and 2023, Beijing Yixin made appropriation to these statutory reserve funds of US$1,939,543, US$899,337, US$2,261,115 and US$2,293,278 respectively due to the profit position, which did not reach the maximum required amount of 50% of its registered capital.</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Guangzhou U Tiger made appropriation to these statutory reserve funds of US$46,134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Appropriations to the enterprise expansion reserve and the staff welfare and bonus reserve are to be made at the discretion of the Board of Directors of each of the Group’s subsidiaries.</w:t>
      </w:r>
    </w:p>
    <w:p>
      <w:pPr>
        <w:spacing w:after="0" w:line="162" w:lineRule="exact"/>
        <w:rPr>
          <w:sz w:val="20"/>
          <w:szCs w:val="20"/>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As a result of these PRC laws and regulations and the requirement that distributions by the PRC entities can only be paid out of distributable profits computed in accordance with the PRC GAAP, the PRC entities are restricted from transferring a portion of their net assets to the Group. Amounts restricted include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and the statutory reserves of the Group’s PRC subsidiaries.</w:t>
      </w:r>
    </w:p>
    <w:p>
      <w:pPr>
        <w:spacing w:after="0" w:line="17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amounts of capital and statutory reserves restricted which represented the amount of net assets of the relevant subsidiaries in the Group not available for distribution were US$79,982,109 and US$84,343,422 as of December 31, 2022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Segments are business units that offer different services and are reviewed separately by the chief operating decision maker (the “CODM”), or the decision-making group, in deciding how to allocate resources and in assessing performance. The CODM, who is responsible for allocating resources and assessing performance of the operating segment, has been identified as the Group’s Chief Executive Officer. The Group operates as a single operating segment. The single operating segment is reported in a manner consistent with the internal reporting provided to the CODM.</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primarily operates its business in the New Zealand, Singapore, and the United States for the years ended December 31, 2021, 2022, and 2023. The following table presents total revenues by geographic area for the years indicated.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Intra-companies revenues have been eliminated in this geographic information to reflect the external business conducted in each geographic region. The geographic analysis presented below is based on the location of the subsidiaries in which the transactions are recorded. This geographic information does not reflect the way the Company’s business is managed.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42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3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4420" w:type="dxa"/>
            <w:vAlign w:val="bottom"/>
          </w:tcPr>
          <w:p>
            <w:pPr>
              <w:spacing w:after="0"/>
              <w:rPr>
                <w:sz w:val="20"/>
                <w:szCs w:val="20"/>
                <w:color w:val="auto"/>
              </w:rPr>
            </w:pPr>
          </w:p>
        </w:tc>
        <w:tc>
          <w:tcPr>
            <w:tcW w:w="200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222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Cayman Island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3,038,882</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2,589,817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3,620,687</w:t>
            </w:r>
          </w:p>
        </w:tc>
        <w:tc>
          <w:tcPr>
            <w:tcW w:w="100" w:type="dxa"/>
            <w:vAlign w:val="bottom"/>
          </w:tcPr>
          <w:p>
            <w:pPr>
              <w:spacing w:after="0"/>
              <w:rPr>
                <w:sz w:val="20"/>
                <w:szCs w:val="20"/>
                <w:color w:val="auto"/>
              </w:rPr>
            </w:pPr>
          </w:p>
        </w:tc>
      </w:tr>
      <w:tr>
        <w:trPr>
          <w:trHeight w:val="247"/>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187,452,225</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116,254,749</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117,335,988</w:t>
            </w:r>
          </w:p>
        </w:tc>
        <w:tc>
          <w:tcPr>
            <w:tcW w:w="100" w:type="dxa"/>
            <w:vAlign w:val="bottom"/>
            <w:shd w:val="clear" w:color="auto" w:fill="CFF0FC"/>
          </w:tcPr>
          <w:p>
            <w:pPr>
              <w:spacing w:after="0"/>
              <w:rPr>
                <w:sz w:val="21"/>
                <w:szCs w:val="21"/>
                <w:color w:val="auto"/>
              </w:rPr>
            </w:pPr>
          </w:p>
        </w:tc>
      </w:tr>
      <w:tr>
        <w:trPr>
          <w:trHeight w:val="239"/>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17,413,038</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27,816,835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71,919,756</w:t>
            </w:r>
          </w:p>
        </w:tc>
        <w:tc>
          <w:tcPr>
            <w:tcW w:w="100" w:type="dxa"/>
            <w:vAlign w:val="bottom"/>
          </w:tcPr>
          <w:p>
            <w:pPr>
              <w:spacing w:after="0"/>
              <w:rPr>
                <w:sz w:val="20"/>
                <w:szCs w:val="20"/>
                <w:color w:val="auto"/>
              </w:rPr>
            </w:pPr>
          </w:p>
        </w:tc>
      </w:tr>
      <w:tr>
        <w:trPr>
          <w:trHeight w:val="247"/>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52,696,503</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70,608,581</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66,705,363</w:t>
            </w:r>
          </w:p>
        </w:tc>
        <w:tc>
          <w:tcPr>
            <w:tcW w:w="100" w:type="dxa"/>
            <w:vAlign w:val="bottom"/>
            <w:shd w:val="clear" w:color="auto" w:fill="CFF0FC"/>
          </w:tcPr>
          <w:p>
            <w:pPr>
              <w:spacing w:after="0"/>
              <w:rPr>
                <w:sz w:val="21"/>
                <w:szCs w:val="21"/>
                <w:color w:val="auto"/>
              </w:rPr>
            </w:pPr>
          </w:p>
        </w:tc>
      </w:tr>
      <w:tr>
        <w:trPr>
          <w:trHeight w:val="239"/>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3,887,514</w:t>
            </w:r>
          </w:p>
        </w:tc>
        <w:tc>
          <w:tcPr>
            <w:tcW w:w="120" w:type="dxa"/>
            <w:vAlign w:val="bottom"/>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8,095,565</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12,925,801</w:t>
            </w:r>
          </w:p>
        </w:tc>
        <w:tc>
          <w:tcPr>
            <w:tcW w:w="100" w:type="dxa"/>
            <w:vAlign w:val="bottom"/>
          </w:tcPr>
          <w:p>
            <w:pPr>
              <w:spacing w:after="0"/>
              <w:rPr>
                <w:sz w:val="20"/>
                <w:szCs w:val="20"/>
                <w:color w:val="auto"/>
              </w:rPr>
            </w:pPr>
          </w:p>
        </w:tc>
      </w:tr>
      <w:tr>
        <w:trPr>
          <w:trHeight w:val="279"/>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264,488,162</w:t>
            </w:r>
          </w:p>
        </w:tc>
        <w:tc>
          <w:tcPr>
            <w:tcW w:w="120" w:type="dxa"/>
            <w:vAlign w:val="bottom"/>
            <w:tcBorders>
              <w:bottom w:val="single" w:sz="8" w:color="CFF0FC"/>
            </w:tcBorders>
            <w:shd w:val="clear" w:color="auto" w:fill="CFF0FC"/>
          </w:tcPr>
          <w:p>
            <w:pPr>
              <w:spacing w:after="0"/>
              <w:rPr>
                <w:sz w:val="24"/>
                <w:szCs w:val="24"/>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225,365,547</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272,507,595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7747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Group evaluated events subsequent to the balance sheet date of December 31, 2023 through the date of issuance of the consolidated financial statements. No material recordable or discussable events or transactions occurred.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exclusive option contract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made by the following Parties on November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Bohu Xiangshang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Social Credit Codes: 91640000MA76EDEQ9Q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the shareholders set forth in Exhibit 1 (List of Shareholders of Beijing Xiangshang Rongke Technology Development Co., Ltd.) attached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Xiangshang Rongke Technology Development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Social Credit Codes: 91110105397574386P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Party A, Party B and Party C is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300" w:hanging="292"/>
        <w:spacing w:after="0"/>
        <w:tabs>
          <w:tab w:leader="none" w:pos="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holds 100% equity in Party C as of execution hereof;</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intends to grant an exclusive option to Party A whereby Party A may request Party B to sell the equity it holds in Party C to Party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agree as follows upon consensus through negotiation:</w:t>
      </w:r>
    </w:p>
    <w:p>
      <w:pPr>
        <w:spacing w:after="0" w:line="225" w:lineRule="exact"/>
        <w:rPr>
          <w:sz w:val="20"/>
          <w:szCs w:val="20"/>
          <w:color w:val="auto"/>
        </w:rPr>
      </w:pPr>
    </w:p>
    <w:p>
      <w:pPr>
        <w:ind w:left="180" w:hanging="172"/>
        <w:spacing w:after="0"/>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Equity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 Grant of Right</w:t>
      </w:r>
    </w:p>
    <w:p>
      <w:pPr>
        <w:spacing w:after="0" w:line="221"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Party B hereby irrevocably grants Party A an irrevocable and exclusive option (“</w:t>
      </w:r>
      <w:r>
        <w:rPr>
          <w:rFonts w:ascii="Times New Roman" w:cs="Times New Roman" w:eastAsia="Times New Roman" w:hAnsi="Times New Roman"/>
          <w:sz w:val="18"/>
          <w:szCs w:val="18"/>
          <w:b w:val="1"/>
          <w:bCs w:val="1"/>
          <w:color w:val="auto"/>
        </w:rPr>
        <w:t>Equity Purchase Option</w:t>
      </w:r>
      <w:r>
        <w:rPr>
          <w:rFonts w:ascii="Times New Roman" w:cs="Times New Roman" w:eastAsia="Times New Roman" w:hAnsi="Times New Roman"/>
          <w:sz w:val="18"/>
          <w:szCs w:val="18"/>
          <w:color w:val="auto"/>
        </w:rPr>
        <w:t>”) to purchase by itself or by one or several persons designated by it (each of the persons referred to as the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who will be approved by the board of directors of Party A) all or part of the equity Party B holds or will hold in Party C in one single or a series of transactions according to the steps decided by Party A in its sole discretion and at the price described in Clause 1.3 hereof, subject to the laws of the China. Except for Party A and the Designee, no third party may enjoy the Equity Purchase Option or any rights relating to Party B’s equity. Party C hereby agrees to Party B’s grant of the Equity Purchase Option to Party A. The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referred to in this Paragraph 1.1 and this Contract means individuals, companies, joint ventures, partnerships, enterprises, trusts or unincorporated organizations.</w:t>
      </w:r>
    </w:p>
    <w:p>
      <w:pPr>
        <w:spacing w:after="0" w:line="187"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For the avoidance of any doubt, Party A may exercise any of its rights hereunder at any time after this Contract becomes effective, including the Equity Purchase Option. To the maximum extent permitted by the laws of China, when Party B dies, or becomes incapacitated or cancelled, Party A may exercise the rights hereunder, including the Equity Purchase Option, against Party B or its/his legal heirs, successors in title or agents.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 Steps of Exercise</w:t>
      </w:r>
    </w:p>
    <w:p>
      <w:pPr>
        <w:spacing w:after="0" w:line="225"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Party A shall exercise its Equity Purchase Option subject to the laws and regulations of China. When exercising the Equity Purchase Option, Party A shall send a written notice to Party B (“</w:t>
      </w:r>
      <w:r>
        <w:rPr>
          <w:rFonts w:ascii="Times New Roman" w:cs="Times New Roman" w:eastAsia="Times New Roman" w:hAnsi="Times New Roman"/>
          <w:sz w:val="18"/>
          <w:szCs w:val="18"/>
          <w:b w:val="1"/>
          <w:bCs w:val="1"/>
          <w:color w:val="auto"/>
        </w:rPr>
        <w:t>Equity Purchase Notice</w:t>
      </w:r>
      <w:r>
        <w:rPr>
          <w:rFonts w:ascii="Times New Roman" w:cs="Times New Roman" w:eastAsia="Times New Roman" w:hAnsi="Times New Roman"/>
          <w:sz w:val="18"/>
          <w:szCs w:val="18"/>
          <w:color w:val="auto"/>
        </w:rPr>
        <w:t>”), specifying the following matters: (a) the decision of Party A or its Designee on exercise of the Equity Purchase Option; (b) the share of equity to be purchased by Party A or its Designee from Party B (“</w:t>
      </w:r>
      <w:r>
        <w:rPr>
          <w:rFonts w:ascii="Times New Roman" w:cs="Times New Roman" w:eastAsia="Times New Roman" w:hAnsi="Times New Roman"/>
          <w:sz w:val="18"/>
          <w:szCs w:val="18"/>
          <w:b w:val="1"/>
          <w:bCs w:val="1"/>
          <w:color w:val="auto"/>
        </w:rPr>
        <w:t>Purchased Equity</w:t>
      </w:r>
      <w:r>
        <w:rPr>
          <w:rFonts w:ascii="Times New Roman" w:cs="Times New Roman" w:eastAsia="Times New Roman" w:hAnsi="Times New Roman"/>
          <w:sz w:val="18"/>
          <w:szCs w:val="18"/>
          <w:color w:val="auto"/>
        </w:rPr>
        <w:t>”); and (c) the date of purchase/transfer of the Purchased Equity.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  Purchase Price</w:t>
      </w:r>
    </w:p>
    <w:p>
      <w:pPr>
        <w:spacing w:after="0" w:line="221" w:lineRule="exact"/>
        <w:rPr>
          <w:sz w:val="20"/>
          <w:szCs w:val="20"/>
          <w:color w:val="auto"/>
        </w:rPr>
      </w:pPr>
    </w:p>
    <w:p>
      <w:pPr>
        <w:jc w:val="both"/>
        <w:ind w:left="900"/>
        <w:spacing w:after="0" w:line="286" w:lineRule="auto"/>
        <w:rPr>
          <w:sz w:val="20"/>
          <w:szCs w:val="20"/>
          <w:color w:val="auto"/>
        </w:rPr>
      </w:pPr>
      <w:r>
        <w:rPr>
          <w:rFonts w:ascii="Times New Roman" w:cs="Times New Roman" w:eastAsia="Times New Roman" w:hAnsi="Times New Roman"/>
          <w:sz w:val="18"/>
          <w:szCs w:val="18"/>
          <w:color w:val="auto"/>
        </w:rPr>
        <w:t>The purchase price of the Purchased Equity is RMB 10 (“</w:t>
      </w:r>
      <w:r>
        <w:rPr>
          <w:rFonts w:ascii="Times New Roman" w:cs="Times New Roman" w:eastAsia="Times New Roman" w:hAnsi="Times New Roman"/>
          <w:sz w:val="18"/>
          <w:szCs w:val="18"/>
          <w:b w:val="1"/>
          <w:bCs w:val="1"/>
          <w:color w:val="auto"/>
        </w:rPr>
        <w:t>Base Price</w:t>
      </w:r>
      <w:r>
        <w:rPr>
          <w:rFonts w:ascii="Times New Roman" w:cs="Times New Roman" w:eastAsia="Times New Roman" w:hAnsi="Times New Roman"/>
          <w:sz w:val="18"/>
          <w:szCs w:val="18"/>
          <w:color w:val="auto"/>
        </w:rPr>
        <w:t>”). If the minimum price permitted by the laws of China at the time of exercise by Party A of the Equity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ind w:left="892"/>
        <w:spacing w:after="0"/>
        <w:rPr>
          <w:sz w:val="20"/>
          <w:szCs w:val="20"/>
          <w:color w:val="auto"/>
        </w:rPr>
      </w:pPr>
      <w:r>
        <w:rPr>
          <w:rFonts w:ascii="Times New Roman" w:cs="Times New Roman" w:eastAsia="Times New Roman" w:hAnsi="Times New Roman"/>
          <w:sz w:val="18"/>
          <w:szCs w:val="18"/>
          <w:color w:val="auto"/>
        </w:rPr>
        <w:t>Option is higher than the Base Price, the transfer price shall be the minimum price permitted by the laws of China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1.4  Transfer of the Purchased Equity</w:t>
      </w:r>
    </w:p>
    <w:p>
      <w:pPr>
        <w:spacing w:after="0" w:line="22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When Party A exercises the Equity Purchase Option,</w:t>
      </w:r>
    </w:p>
    <w:p>
      <w:pPr>
        <w:spacing w:after="0" w:line="225" w:lineRule="exact"/>
        <w:rPr>
          <w:sz w:val="20"/>
          <w:szCs w:val="20"/>
          <w:color w:val="auto"/>
        </w:rPr>
      </w:pPr>
    </w:p>
    <w:p>
      <w:pPr>
        <w:jc w:val="both"/>
        <w:ind w:left="1532" w:hanging="748"/>
        <w:spacing w:after="0" w:line="282" w:lineRule="auto"/>
        <w:tabs>
          <w:tab w:leader="none" w:pos="1512"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Party B shall procure Party C to hold a shareholders’ meeting promptly at which a resolution approving Party B’s transfer of the Purchased Equity to Party A and/or the Designee shall be passed;</w:t>
      </w:r>
    </w:p>
    <w:p>
      <w:pPr>
        <w:spacing w:after="0" w:line="162" w:lineRule="exact"/>
        <w:rPr>
          <w:sz w:val="20"/>
          <w:szCs w:val="20"/>
          <w:color w:val="auto"/>
        </w:rPr>
      </w:pPr>
    </w:p>
    <w:p>
      <w:pPr>
        <w:jc w:val="both"/>
        <w:ind w:left="1512" w:hanging="748"/>
        <w:spacing w:after="0" w:line="282" w:lineRule="auto"/>
        <w:tabs>
          <w:tab w:leader="none" w:pos="1492" w:val="left"/>
        </w:tabs>
        <w:rPr>
          <w:sz w:val="20"/>
          <w:szCs w:val="20"/>
          <w:color w:val="auto"/>
        </w:rPr>
      </w:pPr>
      <w:r>
        <w:rPr>
          <w:rFonts w:ascii="Times New Roman" w:cs="Times New Roman" w:eastAsia="Times New Roman" w:hAnsi="Times New Roman"/>
          <w:sz w:val="18"/>
          <w:szCs w:val="18"/>
          <w:color w:val="auto"/>
        </w:rPr>
        <w:t>1.4.2</w:t>
        <w:tab/>
        <w:t>Party B shall obtain written statements with respect to transfer of the Purchased Equity to Party A and/or the Designee from other shareholders of Party C whereby other shareholders consent to the transfer and waive their right of first refusal;</w:t>
      </w:r>
    </w:p>
    <w:p>
      <w:pPr>
        <w:spacing w:after="0" w:line="158" w:lineRule="exact"/>
        <w:rPr>
          <w:sz w:val="20"/>
          <w:szCs w:val="20"/>
          <w:color w:val="auto"/>
        </w:rPr>
      </w:pPr>
    </w:p>
    <w:p>
      <w:pPr>
        <w:jc w:val="both"/>
        <w:ind w:left="1532" w:hanging="748"/>
        <w:spacing w:after="0" w:line="286" w:lineRule="auto"/>
        <w:tabs>
          <w:tab w:leader="none" w:pos="1512"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Party B shall enter into equity transfer contract (“</w:t>
      </w:r>
      <w:r>
        <w:rPr>
          <w:rFonts w:ascii="Times New Roman" w:cs="Times New Roman" w:eastAsia="Times New Roman" w:hAnsi="Times New Roman"/>
          <w:sz w:val="18"/>
          <w:szCs w:val="18"/>
          <w:b w:val="1"/>
          <w:bCs w:val="1"/>
          <w:color w:val="auto"/>
        </w:rPr>
        <w:t>Transfer Contract</w:t>
      </w:r>
      <w:r>
        <w:rPr>
          <w:rFonts w:ascii="Times New Roman" w:cs="Times New Roman" w:eastAsia="Times New Roman" w:hAnsi="Times New Roman"/>
          <w:sz w:val="18"/>
          <w:szCs w:val="18"/>
          <w:color w:val="auto"/>
        </w:rPr>
        <w:t>”) with Party A and/or (if applicable) the Designee for each transfer of the Purchased Equity according to this Contract and the Equity Purchase Notice;</w:t>
      </w:r>
    </w:p>
    <w:p>
      <w:pPr>
        <w:spacing w:after="0" w:line="159" w:lineRule="exact"/>
        <w:rPr>
          <w:sz w:val="20"/>
          <w:szCs w:val="20"/>
          <w:color w:val="auto"/>
        </w:rPr>
      </w:pPr>
    </w:p>
    <w:p>
      <w:pPr>
        <w:jc w:val="both"/>
        <w:ind w:left="1552" w:hanging="748"/>
        <w:spacing w:after="0" w:line="254" w:lineRule="auto"/>
        <w:tabs>
          <w:tab w:leader="none" w:pos="1532"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Relevant parties shall enter into other necessary contracts, agreements or documents, obtain all required government permits and licenses, and take all necessary actions, to transfer the valid title to the Purchased Equity free of any encumbrances to Party A and/or the Designee, and procure Party A and/or the Designee registered as the owner of the Purchased Equity. For purpose of this Clause 1.4.4 and this Contract, “</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includes security, mortgage, third party’s rights or interests, equity purchase right, acquisition right, right of first refusal, right of offset, retention of title, or other security arrangement, and, for clarity, does not include any security interest under this Contract or Party B’s equity pledge contract. “</w:t>
      </w:r>
      <w:r>
        <w:rPr>
          <w:rFonts w:ascii="Times New Roman" w:cs="Times New Roman" w:eastAsia="Times New Roman" w:hAnsi="Times New Roman"/>
          <w:sz w:val="18"/>
          <w:szCs w:val="18"/>
          <w:b w:val="1"/>
          <w:bCs w:val="1"/>
          <w:color w:val="auto"/>
        </w:rPr>
        <w:t>Party B’s equity pledge contract</w:t>
      </w:r>
      <w:r>
        <w:rPr>
          <w:rFonts w:ascii="Times New Roman" w:cs="Times New Roman" w:eastAsia="Times New Roman" w:hAnsi="Times New Roman"/>
          <w:sz w:val="18"/>
          <w:szCs w:val="18"/>
          <w:color w:val="auto"/>
        </w:rPr>
        <w:t>” referred to in this Clause 1.4.4 and this Contract means the equity pledge contract entered into by Party A, Party B and Party C as of the date hereof (“</w:t>
      </w:r>
      <w:r>
        <w:rPr>
          <w:rFonts w:ascii="Times New Roman" w:cs="Times New Roman" w:eastAsia="Times New Roman" w:hAnsi="Times New Roman"/>
          <w:sz w:val="18"/>
          <w:szCs w:val="18"/>
          <w:b w:val="1"/>
          <w:bCs w:val="1"/>
          <w:color w:val="auto"/>
        </w:rPr>
        <w:t>Equity Pledge Contract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892"/>
        <w:spacing w:after="0" w:line="266" w:lineRule="auto"/>
        <w:rPr>
          <w:sz w:val="20"/>
          <w:szCs w:val="20"/>
          <w:color w:val="auto"/>
        </w:rPr>
      </w:pPr>
      <w:r>
        <w:rPr>
          <w:rFonts w:ascii="Times New Roman" w:cs="Times New Roman" w:eastAsia="Times New Roman" w:hAnsi="Times New Roman"/>
          <w:sz w:val="18"/>
          <w:szCs w:val="18"/>
          <w:color w:val="auto"/>
        </w:rPr>
        <w:t>To ensure the above purchase of equity meet this Contract and relevant laws in substance or procedure, unless Party A agrees otherwise in writing, Party B shall complete, or procure the completion of, the above actions within 20 working days after Party A sends the Equity Purchase Notice to it.</w:t>
      </w:r>
    </w:p>
    <w:p>
      <w:pPr>
        <w:spacing w:after="0" w:line="172" w:lineRule="exact"/>
        <w:rPr>
          <w:sz w:val="20"/>
          <w:szCs w:val="20"/>
          <w:color w:val="auto"/>
        </w:rPr>
      </w:pPr>
    </w:p>
    <w:p>
      <w:pPr>
        <w:ind w:left="232" w:hanging="232"/>
        <w:spacing w:after="0"/>
        <w:tabs>
          <w:tab w:leader="none" w:pos="23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2.1 Covenants relating to Party C</w:t>
      </w:r>
    </w:p>
    <w:p>
      <w:pPr>
        <w:spacing w:after="0" w:line="22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Each of Party B and Party C hereby severally (but not jointly) undertakes</w:t>
      </w:r>
    </w:p>
    <w:p>
      <w:pPr>
        <w:spacing w:after="0" w:line="225" w:lineRule="exact"/>
        <w:rPr>
          <w:sz w:val="20"/>
          <w:szCs w:val="20"/>
          <w:color w:val="auto"/>
        </w:rPr>
      </w:pPr>
    </w:p>
    <w:p>
      <w:pPr>
        <w:jc w:val="both"/>
        <w:ind w:left="1492" w:hanging="748"/>
        <w:spacing w:after="0" w:line="282" w:lineRule="auto"/>
        <w:tabs>
          <w:tab w:leader="none" w:pos="1472" w:val="left"/>
        </w:tabs>
        <w:rPr>
          <w:sz w:val="20"/>
          <w:szCs w:val="20"/>
          <w:color w:val="auto"/>
        </w:rPr>
      </w:pPr>
      <w:r>
        <w:rPr>
          <w:rFonts w:ascii="Times New Roman" w:cs="Times New Roman" w:eastAsia="Times New Roman" w:hAnsi="Times New Roman"/>
          <w:sz w:val="18"/>
          <w:szCs w:val="18"/>
          <w:color w:val="auto"/>
        </w:rPr>
        <w:t>2.1.1</w:t>
        <w:tab/>
        <w:t>not to supplement, change or amend Party C’s articles of association and bylaws, increase or reduce Party C’s registered capital, or otherwise change the structure of Party C’s registered capital, without prior written consent of Party A;</w:t>
      </w:r>
    </w:p>
    <w:p>
      <w:pPr>
        <w:spacing w:after="0" w:line="162" w:lineRule="exact"/>
        <w:rPr>
          <w:sz w:val="20"/>
          <w:szCs w:val="20"/>
          <w:color w:val="auto"/>
        </w:rPr>
      </w:pPr>
    </w:p>
    <w:p>
      <w:pPr>
        <w:jc w:val="both"/>
        <w:ind w:left="1492" w:hanging="748"/>
        <w:spacing w:after="0" w:line="266" w:lineRule="auto"/>
        <w:tabs>
          <w:tab w:leader="none" w:pos="1472" w:val="left"/>
        </w:tabs>
        <w:rPr>
          <w:sz w:val="20"/>
          <w:szCs w:val="20"/>
          <w:color w:val="auto"/>
        </w:rPr>
      </w:pPr>
      <w:r>
        <w:rPr>
          <w:rFonts w:ascii="Times New Roman" w:cs="Times New Roman" w:eastAsia="Times New Roman" w:hAnsi="Times New Roman"/>
          <w:sz w:val="18"/>
          <w:szCs w:val="18"/>
          <w:color w:val="auto"/>
        </w:rPr>
        <w:t>2.1.2</w:t>
        <w:tab/>
        <w:t>not to consent to Party C’s sale, transfer, mortgage or other disposal of any legal or beneficial interest in Party C’s asset, business or revenue, nor to permit creation of any security interest or other encumbrances thereon, at any time after execution of this Contract, without prior written consent of Party A;</w:t>
      </w:r>
    </w:p>
    <w:p>
      <w:pPr>
        <w:spacing w:after="0" w:line="17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founding shareholders of Party C (Tianhua Wu and Ming Dong) and Party C further undertakes</w:t>
      </w:r>
    </w:p>
    <w:p>
      <w:pPr>
        <w:spacing w:after="0" w:line="225" w:lineRule="exact"/>
        <w:rPr>
          <w:sz w:val="20"/>
          <w:szCs w:val="20"/>
          <w:color w:val="auto"/>
        </w:rPr>
      </w:pPr>
    </w:p>
    <w:p>
      <w:pPr>
        <w:jc w:val="both"/>
        <w:ind w:left="1472" w:hanging="748"/>
        <w:spacing w:after="0" w:line="282" w:lineRule="auto"/>
        <w:tabs>
          <w:tab w:leader="none" w:pos="1452" w:val="left"/>
        </w:tabs>
        <w:rPr>
          <w:sz w:val="20"/>
          <w:szCs w:val="20"/>
          <w:color w:val="auto"/>
        </w:rPr>
      </w:pPr>
      <w:r>
        <w:rPr>
          <w:rFonts w:ascii="Times New Roman" w:cs="Times New Roman" w:eastAsia="Times New Roman" w:hAnsi="Times New Roman"/>
          <w:sz w:val="18"/>
          <w:szCs w:val="18"/>
          <w:color w:val="auto"/>
        </w:rPr>
        <w:t>2.1.3</w:t>
        <w:tab/>
        <w:t>to maintain existence of Party C and prudentially and validly operate and deal with Party C’s business and affairs according to sound financial and business standards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213" w:name="page214"/>
    <w:bookmarkEnd w:id="213"/>
    <w:p>
      <w:pPr>
        <w:jc w:val="both"/>
        <w:ind w:left="1040" w:hanging="748"/>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2.1.4</w:t>
        <w:tab/>
        <w:t>not to sell, transfer, mortgage or otherwise dispose of any legal or beneficial interest in any of its asset, business or revenue, nor to permit creation of any security interest or other encumbrances thereon, at any time after execution of this Contract, without prior written consent of Party A;</w:t>
      </w:r>
    </w:p>
    <w:p>
      <w:pPr>
        <w:spacing w:after="0" w:line="176" w:lineRule="exact"/>
        <w:rPr>
          <w:sz w:val="20"/>
          <w:szCs w:val="20"/>
          <w:color w:val="auto"/>
        </w:rPr>
      </w:pPr>
    </w:p>
    <w:p>
      <w:pPr>
        <w:jc w:val="both"/>
        <w:ind w:left="1000" w:hanging="74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2.1.5</w:t>
        <w:tab/>
        <w:t>not to incur, succeed, guarantee or permit existence of any debts without prior written consent of Party A, except for the debts (i) which are incurred in the ordinary course of business rather than by means of loan, and (ii) which have been disclosed to and consented in writing by Party A;</w:t>
      </w:r>
    </w:p>
    <w:p>
      <w:pPr>
        <w:spacing w:after="0" w:line="176" w:lineRule="exact"/>
        <w:rPr>
          <w:sz w:val="20"/>
          <w:szCs w:val="20"/>
          <w:color w:val="auto"/>
        </w:rPr>
      </w:pPr>
    </w:p>
    <w:p>
      <w:pPr>
        <w:jc w:val="both"/>
        <w:ind w:left="1040" w:hanging="748"/>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2.1.6</w:t>
        <w:tab/>
        <w:t>to operate all business of Party C in ordinary course of business to maintain the value of Party C’s assets, and not to take any act or omission that may have adverse effect upon Party C’s operating conditions and asset value;</w:t>
      </w:r>
    </w:p>
    <w:p>
      <w:pPr>
        <w:spacing w:after="0" w:line="162" w:lineRule="exact"/>
        <w:rPr>
          <w:sz w:val="20"/>
          <w:szCs w:val="20"/>
          <w:color w:val="auto"/>
        </w:rPr>
      </w:pPr>
    </w:p>
    <w:p>
      <w:pPr>
        <w:jc w:val="both"/>
        <w:ind w:left="1000" w:hanging="74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2.1.7</w:t>
        <w:tab/>
        <w:t>that Party C shall not, and the founding shareholders shall not procure Party C to, enter into any material contracts without prior written consent of Party A, except for those entered into in the ordinary course of business (for purpose of this paragraph, if the value of a single contract or the total value of several related contracts exceeds RMB 500,000, they shall be deemed material contracts);</w:t>
      </w:r>
    </w:p>
    <w:p>
      <w:pPr>
        <w:spacing w:after="0" w:line="176" w:lineRule="exact"/>
        <w:rPr>
          <w:sz w:val="20"/>
          <w:szCs w:val="20"/>
          <w:color w:val="auto"/>
        </w:rPr>
      </w:pPr>
    </w:p>
    <w:p>
      <w:pPr>
        <w:jc w:val="both"/>
        <w:ind w:left="1000" w:hanging="74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2.1.8</w:t>
        <w:tab/>
        <w:t>that without Party A’s prior written consent, Party C shall not, and the founding shareholders shall not procure Party C to, provide loan or credit to any person (except for the subsidiaries controlled by Party C directly or indirectly);</w:t>
      </w:r>
    </w:p>
    <w:p>
      <w:pPr>
        <w:spacing w:after="0" w:line="162"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to provide all information relating to Party C’s operation and financial conditions at the request of Party A;</w:t>
      </w:r>
    </w:p>
    <w:p>
      <w:pPr>
        <w:spacing w:after="0" w:line="225" w:lineRule="exact"/>
        <w:rPr>
          <w:sz w:val="20"/>
          <w:szCs w:val="20"/>
          <w:color w:val="auto"/>
        </w:rPr>
      </w:pPr>
    </w:p>
    <w:p>
      <w:pPr>
        <w:jc w:val="both"/>
        <w:ind w:left="1200" w:right="20" w:hanging="748"/>
        <w:spacing w:after="0" w:line="282" w:lineRule="auto"/>
        <w:rPr>
          <w:sz w:val="20"/>
          <w:szCs w:val="20"/>
          <w:color w:val="auto"/>
        </w:rPr>
      </w:pPr>
      <w:r>
        <w:rPr>
          <w:rFonts w:ascii="Times New Roman" w:cs="Times New Roman" w:eastAsia="Times New Roman" w:hAnsi="Times New Roman"/>
          <w:sz w:val="18"/>
          <w:szCs w:val="18"/>
          <w:color w:val="auto"/>
        </w:rPr>
        <w:t>2.1.10 to purchase and maintain insurances for Party C’s assets and business from the insurer approved by Party A when Party A so requests, the amount and type of which shall be consistent with those purchased by a company who engages in similar business;</w:t>
      </w:r>
    </w:p>
    <w:p>
      <w:pPr>
        <w:spacing w:after="0" w:line="162" w:lineRule="exact"/>
        <w:rPr>
          <w:sz w:val="20"/>
          <w:szCs w:val="20"/>
          <w:color w:val="auto"/>
        </w:rPr>
      </w:pPr>
    </w:p>
    <w:p>
      <w:pPr>
        <w:jc w:val="both"/>
        <w:ind w:left="1200" w:hanging="748"/>
        <w:spacing w:after="0" w:line="282" w:lineRule="auto"/>
        <w:rPr>
          <w:sz w:val="20"/>
          <w:szCs w:val="20"/>
          <w:color w:val="auto"/>
        </w:rPr>
      </w:pPr>
      <w:r>
        <w:rPr>
          <w:rFonts w:ascii="Times New Roman" w:cs="Times New Roman" w:eastAsia="Times New Roman" w:hAnsi="Times New Roman"/>
          <w:sz w:val="18"/>
          <w:szCs w:val="18"/>
          <w:color w:val="auto"/>
        </w:rPr>
        <w:t>2.1.11 that without Party A’s prior written consent, Party C shall not, and the founding shareholders shall not procure Party C to, merge or combine with any person, or acquire or invest in any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2.1.12  not to liquidate, dissolve or deregister Party C without prior written consent of Party A;</w:t>
      </w:r>
    </w:p>
    <w:p>
      <w:pPr>
        <w:spacing w:after="0" w:line="225" w:lineRule="exact"/>
        <w:rPr>
          <w:sz w:val="20"/>
          <w:szCs w:val="20"/>
          <w:color w:val="auto"/>
        </w:rPr>
      </w:pPr>
    </w:p>
    <w:p>
      <w:pPr>
        <w:jc w:val="both"/>
        <w:ind w:left="1200" w:right="20" w:hanging="748"/>
        <w:spacing w:after="0" w:line="282" w:lineRule="auto"/>
        <w:rPr>
          <w:sz w:val="20"/>
          <w:szCs w:val="20"/>
          <w:color w:val="auto"/>
        </w:rPr>
      </w:pPr>
      <w:r>
        <w:rPr>
          <w:rFonts w:ascii="Times New Roman" w:cs="Times New Roman" w:eastAsia="Times New Roman" w:hAnsi="Times New Roman"/>
          <w:sz w:val="18"/>
          <w:szCs w:val="18"/>
          <w:color w:val="auto"/>
        </w:rPr>
        <w:t>2.1.13 to immediately notify Party A of any actual or potential litigation, arbitration or administrative procedure relating to Party C’s asset, business or revenue;</w:t>
      </w:r>
    </w:p>
    <w:p>
      <w:pPr>
        <w:spacing w:after="0" w:line="162" w:lineRule="exact"/>
        <w:rPr>
          <w:sz w:val="20"/>
          <w:szCs w:val="20"/>
          <w:color w:val="auto"/>
        </w:rPr>
      </w:pPr>
    </w:p>
    <w:p>
      <w:pPr>
        <w:jc w:val="both"/>
        <w:ind w:left="1060" w:hanging="748"/>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2.1.14</w:t>
        <w:tab/>
        <w:t>to execute all necessary or desirable documents, take all necessary or desirable actions, make all necessary or desirable petitions, or carry out all necessary or desirable defenses against all claims, to maintain Party C’s ownership to its assets;</w:t>
      </w:r>
    </w:p>
    <w:p>
      <w:pPr>
        <w:spacing w:after="0" w:line="162" w:lineRule="exact"/>
        <w:rPr>
          <w:sz w:val="20"/>
          <w:szCs w:val="20"/>
          <w:color w:val="auto"/>
        </w:rPr>
      </w:pPr>
    </w:p>
    <w:p>
      <w:pPr>
        <w:jc w:val="both"/>
        <w:ind w:left="1200" w:hanging="748"/>
        <w:spacing w:after="0" w:line="282" w:lineRule="auto"/>
        <w:rPr>
          <w:sz w:val="20"/>
          <w:szCs w:val="20"/>
          <w:color w:val="auto"/>
        </w:rPr>
      </w:pPr>
      <w:r>
        <w:rPr>
          <w:rFonts w:ascii="Times New Roman" w:cs="Times New Roman" w:eastAsia="Times New Roman" w:hAnsi="Times New Roman"/>
          <w:sz w:val="18"/>
          <w:szCs w:val="18"/>
          <w:color w:val="auto"/>
        </w:rPr>
        <w:t>2.1.15 to procure Party C not to distribute dividends to its shareholders in whatever forms without prior written consent of Party A, provided however that Party C shall distribute all distributable profits to its shareholders immediately after Party A requests in writing;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2.1.16 To appoint any persons designated by Party A to act as directors of Party C, at the request of 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Party B’s Acknowledgement and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Party B hereby severally (but not jointly) acknowledges that</w:t>
      </w:r>
    </w:p>
    <w:p>
      <w:pPr>
        <w:spacing w:after="0" w:line="225" w:lineRule="exact"/>
        <w:rPr>
          <w:sz w:val="20"/>
          <w:szCs w:val="20"/>
          <w:color w:val="auto"/>
        </w:rPr>
      </w:pPr>
    </w:p>
    <w:p>
      <w:pPr>
        <w:jc w:val="both"/>
        <w:ind w:left="1000" w:right="20" w:hanging="74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2.2.1</w:t>
        <w:tab/>
        <w:t>Any equity held by Party B in Party C at present or in future is not community property or inheritable property, nor property jointly co-owned by Party B and other parties, nor become severable or inheritable, to the maximum extent permitted by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855980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417" w:right="339" w:bottom="1440" w:gutter="0" w:footer="0" w:header="0"/>
        </w:sectPr>
      </w:pPr>
    </w:p>
    <w:bookmarkStart w:id="214" w:name="page215"/>
    <w:bookmarkEnd w:id="214"/>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Party B shall not use its equity in Party C to discharge any liabilities or assume any liability of security. If such equity is severed, transferred or inherited for any reason, Party B shall procure and ensure the heir or assignee to execute all documents required by Party 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Party B hereby warrants that</w:t>
      </w:r>
    </w:p>
    <w:p>
      <w:pPr>
        <w:spacing w:after="0" w:line="225" w:lineRule="exact"/>
        <w:rPr>
          <w:sz w:val="20"/>
          <w:szCs w:val="20"/>
          <w:color w:val="auto"/>
        </w:rPr>
      </w:pPr>
    </w:p>
    <w:p>
      <w:pPr>
        <w:jc w:val="both"/>
        <w:ind w:left="760" w:hanging="748"/>
        <w:spacing w:after="0" w:line="266" w:lineRule="auto"/>
        <w:rPr>
          <w:sz w:val="20"/>
          <w:szCs w:val="20"/>
          <w:color w:val="auto"/>
        </w:rPr>
      </w:pPr>
      <w:r>
        <w:rPr>
          <w:rFonts w:ascii="Times New Roman" w:cs="Times New Roman" w:eastAsia="Times New Roman" w:hAnsi="Times New Roman"/>
          <w:sz w:val="18"/>
          <w:szCs w:val="18"/>
          <w:color w:val="auto"/>
        </w:rPr>
        <w:t>2.2.2 without prior written consent of Party A, Party B shall not sell, transfer, mortgage or otherwise dispose of any legal or beneficial interest in the equity it holds in Party C, or permit creation of any security interest or other encumbrances thereon, except for any pledge created thereon according to Party B’s Equity Pledge Contract;</w:t>
      </w:r>
    </w:p>
    <w:p>
      <w:pPr>
        <w:spacing w:after="0" w:line="176" w:lineRule="exact"/>
        <w:rPr>
          <w:sz w:val="20"/>
          <w:szCs w:val="20"/>
          <w:color w:val="auto"/>
        </w:rPr>
      </w:pPr>
    </w:p>
    <w:p>
      <w:pPr>
        <w:jc w:val="both"/>
        <w:ind w:left="520" w:hanging="748"/>
        <w:spacing w:after="0" w:line="255" w:lineRule="auto"/>
        <w:tabs>
          <w:tab w:leader="none" w:pos="500" w:val="left"/>
        </w:tabs>
        <w:rPr>
          <w:sz w:val="20"/>
          <w:szCs w:val="20"/>
          <w:color w:val="auto"/>
        </w:rPr>
      </w:pPr>
      <w:r>
        <w:rPr>
          <w:rFonts w:ascii="Times New Roman" w:cs="Times New Roman" w:eastAsia="Times New Roman" w:hAnsi="Times New Roman"/>
          <w:sz w:val="18"/>
          <w:szCs w:val="18"/>
          <w:color w:val="auto"/>
        </w:rPr>
        <w:t>2.2.3</w:t>
        <w:tab/>
        <w:t>Party B shall not request Party C to distribute bonus or profit in other forms with respect to its equity in Party C, nor raise any matter subject to resolutions of shareholders’ meeting with respect to the above distribution, nor vote for such matter. If Party B receives any revenue, profit or bonus from Party C for whatever reason, it shall immediately pay or transfer such revenue, profit or bonus to Party A or any party designated by Party A for the benefit of Party C, which will be deemed as a part of the services charges payable to Party A by Party C under the Exclusive Business Cooperation Agreement. The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referred to in this Clause 2.2.3 and this Contract means the Exclusive Business Cooperation Agreement entered into by Party A and Party C on December 17, 2018;</w:t>
      </w:r>
    </w:p>
    <w:p>
      <w:pPr>
        <w:spacing w:after="0" w:line="189" w:lineRule="exact"/>
        <w:rPr>
          <w:sz w:val="20"/>
          <w:szCs w:val="20"/>
          <w:color w:val="auto"/>
        </w:rPr>
      </w:pPr>
    </w:p>
    <w:p>
      <w:pPr>
        <w:jc w:val="both"/>
        <w:ind w:left="560" w:hanging="748"/>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2.2.4</w:t>
        <w:tab/>
        <w:t>Party B shall procure the shareholders’ meeting and/or board of directors of Party C not to approve any sale, transfer, mortgage or other disposal of any legal or beneficial interests in the equity held by Party B in Party C, and not to permit creation of any security interest or other encumbrances thereon, without prior written consent, except for the pledge created over the above equity according to Party B’s Equity Pledge Contract;</w:t>
      </w:r>
    </w:p>
    <w:p>
      <w:pPr>
        <w:spacing w:after="0" w:line="180" w:lineRule="exact"/>
        <w:rPr>
          <w:sz w:val="20"/>
          <w:szCs w:val="20"/>
          <w:color w:val="auto"/>
        </w:rPr>
      </w:pPr>
    </w:p>
    <w:p>
      <w:pPr>
        <w:jc w:val="both"/>
        <w:ind w:left="580" w:hanging="748"/>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2.2.5</w:t>
        <w:tab/>
        <w:t>Party B shall procure the shareholders’ meeting and/or board of directors of Party C not to approve any merger with, acquisition of or invest in any other persons without prior written consent of Party A;</w:t>
      </w:r>
    </w:p>
    <w:p>
      <w:pPr>
        <w:spacing w:after="0" w:line="162" w:lineRule="exact"/>
        <w:rPr>
          <w:sz w:val="20"/>
          <w:szCs w:val="20"/>
          <w:color w:val="auto"/>
        </w:rPr>
      </w:pPr>
    </w:p>
    <w:p>
      <w:pPr>
        <w:jc w:val="both"/>
        <w:ind w:left="580" w:hanging="748"/>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2.2.6</w:t>
        <w:tab/>
        <w:t>Party B shall procure the shareholders’ meeting of Party C not to approve liquidation, dissolution or deregistration of Party C without prior written consent of Party A;</w:t>
      </w:r>
    </w:p>
    <w:p>
      <w:pPr>
        <w:spacing w:after="0" w:line="162" w:lineRule="exact"/>
        <w:rPr>
          <w:sz w:val="20"/>
          <w:szCs w:val="20"/>
          <w:color w:val="auto"/>
        </w:rPr>
      </w:pPr>
    </w:p>
    <w:p>
      <w:pPr>
        <w:jc w:val="both"/>
        <w:ind w:left="620" w:right="20" w:hanging="748"/>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2.2.7</w:t>
        <w:tab/>
        <w:t>Party B shall immediately notify Party A of any litigation, arbitration or administrative procedure relating to its equity in Party C, which has occurred or may occur;</w:t>
      </w:r>
    </w:p>
    <w:p>
      <w:pPr>
        <w:spacing w:after="0" w:line="162" w:lineRule="exact"/>
        <w:rPr>
          <w:sz w:val="20"/>
          <w:szCs w:val="20"/>
          <w:color w:val="auto"/>
        </w:rPr>
      </w:pPr>
    </w:p>
    <w:p>
      <w:pPr>
        <w:jc w:val="both"/>
        <w:ind w:left="580" w:hanging="748"/>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2.2.8</w:t>
        <w:tab/>
        <w:t>Party B shall procure the shareholders’ meeting or board of directors of Party C to vote for and approve the transfer of the Purchased Equity contemplated hereunder, and to take any and all other actions Party A may request;</w:t>
      </w:r>
    </w:p>
    <w:p>
      <w:pPr>
        <w:spacing w:after="0" w:line="162" w:lineRule="exact"/>
        <w:rPr>
          <w:sz w:val="20"/>
          <w:szCs w:val="20"/>
          <w:color w:val="auto"/>
        </w:rPr>
      </w:pPr>
    </w:p>
    <w:p>
      <w:pPr>
        <w:jc w:val="both"/>
        <w:ind w:left="620" w:hanging="748"/>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2.2.9</w:t>
        <w:tab/>
        <w:t>Party B shall execute all necessary or desirable documents, take all necessary or desirable actions, make all necessary or desirable petitions, or carry out all necessary or desirable defenses against all claims, to maintain its ownership to the equity in Party 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2.2.10 Party B shall appoint any persons designated by Party A to act as directors of Party C, at the request of Party A;</w:t>
      </w:r>
    </w:p>
    <w:p>
      <w:pPr>
        <w:spacing w:after="0" w:line="225" w:lineRule="exact"/>
        <w:rPr>
          <w:sz w:val="20"/>
          <w:szCs w:val="20"/>
          <w:color w:val="auto"/>
        </w:rPr>
      </w:pPr>
    </w:p>
    <w:p>
      <w:pPr>
        <w:jc w:val="both"/>
        <w:ind w:left="600" w:hanging="748"/>
        <w:spacing w:after="0" w:line="261" w:lineRule="auto"/>
        <w:tabs>
          <w:tab w:leader="none" w:pos="580" w:val="left"/>
        </w:tabs>
        <w:rPr>
          <w:sz w:val="20"/>
          <w:szCs w:val="20"/>
          <w:color w:val="auto"/>
        </w:rPr>
      </w:pPr>
      <w:r>
        <w:rPr>
          <w:rFonts w:ascii="Times New Roman" w:cs="Times New Roman" w:eastAsia="Times New Roman" w:hAnsi="Times New Roman"/>
          <w:sz w:val="18"/>
          <w:szCs w:val="18"/>
          <w:color w:val="auto"/>
        </w:rPr>
        <w:t>2.2.11</w:t>
        <w:tab/>
        <w:t>at the request of Party A at any time, Party B shall immediately and unconditionally transfer its equity in Party C to Party A and/or the Designee according to the Equity Purchase Option hereunder, without any additional conditions other than those specified herein, and Party B hereby waives any of its right of first refusal, if any, whereby it can transfer its equity to other current shareholders of Party C; and</w:t>
      </w:r>
    </w:p>
    <w:p>
      <w:pPr>
        <w:spacing w:after="0" w:line="180" w:lineRule="exact"/>
        <w:rPr>
          <w:sz w:val="20"/>
          <w:szCs w:val="20"/>
          <w:color w:val="auto"/>
        </w:rPr>
      </w:pPr>
    </w:p>
    <w:p>
      <w:pPr>
        <w:jc w:val="both"/>
        <w:ind w:left="760" w:right="20" w:hanging="748"/>
        <w:spacing w:after="0" w:line="282" w:lineRule="auto"/>
        <w:rPr>
          <w:sz w:val="20"/>
          <w:szCs w:val="20"/>
          <w:color w:val="auto"/>
        </w:rPr>
      </w:pPr>
      <w:r>
        <w:rPr>
          <w:rFonts w:ascii="Times New Roman" w:cs="Times New Roman" w:eastAsia="Times New Roman" w:hAnsi="Times New Roman"/>
          <w:sz w:val="18"/>
          <w:szCs w:val="18"/>
          <w:color w:val="auto"/>
        </w:rPr>
        <w:t>2.2.12 Party B shall strictly comply with this Contract and other contracts entered into by Party B, Party C and Party A jointly or severally, and perform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855980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1220" w:top="1417" w:right="339" w:bottom="1440" w:gutter="0" w:footer="0" w:header="0"/>
        </w:sectPr>
      </w:pPr>
    </w:p>
    <w:bookmarkStart w:id="215" w:name="page216"/>
    <w:bookmarkEnd w:id="215"/>
    <w:p>
      <w:pPr>
        <w:jc w:val="both"/>
        <w:ind w:left="1652"/>
        <w:spacing w:after="0" w:line="266" w:lineRule="auto"/>
        <w:rPr>
          <w:sz w:val="20"/>
          <w:szCs w:val="20"/>
          <w:color w:val="auto"/>
        </w:rPr>
      </w:pPr>
      <w:r>
        <w:rPr>
          <w:rFonts w:ascii="Times New Roman" w:cs="Times New Roman" w:eastAsia="Times New Roman" w:hAnsi="Times New Roman"/>
          <w:sz w:val="18"/>
          <w:szCs w:val="18"/>
          <w:color w:val="auto"/>
        </w:rPr>
        <w:t>hereunder and thereunder, and shall not carry out any act or omission that may affect the validity and enforceability hereof and thereof. If Party B enjoys any residual rights under this Contract, the Equity Pledge Contract entered into by the Parties, or the Power of Attorney granted in favor of Party A, Party B shall not exercise such rights, unless Party A instructs otherwise in writing.</w:t>
      </w:r>
    </w:p>
    <w:p>
      <w:pPr>
        <w:spacing w:after="0" w:line="172" w:lineRule="exact"/>
        <w:rPr>
          <w:sz w:val="20"/>
          <w:szCs w:val="20"/>
          <w:color w:val="auto"/>
        </w:rPr>
      </w:pPr>
    </w:p>
    <w:p>
      <w:pPr>
        <w:ind w:left="232" w:hanging="232"/>
        <w:spacing w:after="0"/>
        <w:tabs>
          <w:tab w:leader="none" w:pos="23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jc w:val="both"/>
        <w:ind w:left="452"/>
        <w:spacing w:after="0" w:line="282" w:lineRule="auto"/>
        <w:rPr>
          <w:sz w:val="20"/>
          <w:szCs w:val="20"/>
          <w:color w:val="auto"/>
        </w:rPr>
      </w:pPr>
      <w:r>
        <w:rPr>
          <w:rFonts w:ascii="Times New Roman" w:cs="Times New Roman" w:eastAsia="Times New Roman" w:hAnsi="Times New Roman"/>
          <w:sz w:val="18"/>
          <w:szCs w:val="18"/>
          <w:color w:val="auto"/>
        </w:rPr>
        <w:t>Each of Party B and Party C hereby severally (but not jointly) represent and warrants to Party A as of execution hereof and on each transfer date of the Purchased Equity that:</w:t>
      </w:r>
    </w:p>
    <w:p>
      <w:pPr>
        <w:spacing w:after="0" w:line="162" w:lineRule="exact"/>
        <w:rPr>
          <w:sz w:val="20"/>
          <w:szCs w:val="20"/>
          <w:color w:val="auto"/>
        </w:rPr>
      </w:pPr>
    </w:p>
    <w:p>
      <w:pPr>
        <w:jc w:val="both"/>
        <w:ind w:left="892" w:hanging="430"/>
        <w:spacing w:after="0" w:line="261" w:lineRule="auto"/>
        <w:rPr>
          <w:sz w:val="20"/>
          <w:szCs w:val="20"/>
          <w:color w:val="auto"/>
        </w:rPr>
      </w:pPr>
      <w:r>
        <w:rPr>
          <w:rFonts w:ascii="Times New Roman" w:cs="Times New Roman" w:eastAsia="Times New Roman" w:hAnsi="Times New Roman"/>
          <w:sz w:val="18"/>
          <w:szCs w:val="18"/>
          <w:color w:val="auto"/>
        </w:rPr>
        <w:t>3.1 it has the authority to execute and deliver this Contract and any Transfer Contract, and to perform its obligations hereunder and thereunder. Party B and Party C agree to enter into the Transfer Contract containing the same provisions as those of this Contract when Party A exercises the Equity Purchase Option. This Contract and the Transfer Contract to which it is a party constitute and will constitute its legal, valid and binding obligations, and are enforceable against it according to the terms hereof and thereof;</w:t>
      </w:r>
    </w:p>
    <w:p>
      <w:pPr>
        <w:spacing w:after="0" w:line="180" w:lineRule="exact"/>
        <w:rPr>
          <w:sz w:val="20"/>
          <w:szCs w:val="20"/>
          <w:color w:val="auto"/>
        </w:rPr>
      </w:pPr>
    </w:p>
    <w:p>
      <w:pPr>
        <w:jc w:val="both"/>
        <w:ind w:left="892" w:hanging="430"/>
        <w:spacing w:after="0" w:line="258" w:lineRule="auto"/>
        <w:rPr>
          <w:sz w:val="20"/>
          <w:szCs w:val="20"/>
          <w:color w:val="auto"/>
        </w:rPr>
      </w:pPr>
      <w:r>
        <w:rPr>
          <w:rFonts w:ascii="Times New Roman" w:cs="Times New Roman" w:eastAsia="Times New Roman" w:hAnsi="Times New Roman"/>
          <w:sz w:val="18"/>
          <w:szCs w:val="18"/>
          <w:color w:val="auto"/>
        </w:rPr>
        <w:t>3.2 Neither execution and delivery of this Contract or any Transfer Contract nor any obligations hereunder or thereunder shall (i) result in violation of any applicable laws of China; (ii) contradict to Party C’s articles of association, bylaws or other organizational documents; (iii) result in violation of any contract or instrument to which it is a party or by which it is bound, or constitute breach of such contract or instrument; (iv) result in violation of any conditions for grant and/or continuing effect of any license or permit to it; or (v) result in suspense, cancellation or imposition of additional conditions on any license or permit granted to it;</w:t>
      </w:r>
    </w:p>
    <w:p>
      <w:pPr>
        <w:spacing w:after="0" w:line="183" w:lineRule="exact"/>
        <w:rPr>
          <w:sz w:val="20"/>
          <w:szCs w:val="20"/>
          <w:color w:val="auto"/>
        </w:rPr>
      </w:pPr>
    </w:p>
    <w:p>
      <w:pPr>
        <w:jc w:val="both"/>
        <w:ind w:left="892" w:right="20" w:hanging="430"/>
        <w:spacing w:after="0" w:line="282" w:lineRule="auto"/>
        <w:rPr>
          <w:sz w:val="20"/>
          <w:szCs w:val="20"/>
          <w:color w:val="auto"/>
        </w:rPr>
      </w:pPr>
      <w:r>
        <w:rPr>
          <w:rFonts w:ascii="Times New Roman" w:cs="Times New Roman" w:eastAsia="Times New Roman" w:hAnsi="Times New Roman"/>
          <w:sz w:val="18"/>
          <w:szCs w:val="18"/>
          <w:color w:val="auto"/>
        </w:rPr>
        <w:t>3.3 Party B has good and marketable title to the equity it holds in Party C. Unless as otherwise stipulated by Party B’s Equity Pledge Contract and this Contract, Party B has created no security interest in such equity;</w:t>
      </w:r>
    </w:p>
    <w:p>
      <w:pPr>
        <w:spacing w:after="0" w:line="162"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The founding shareholders and Party C hereby severally and jointly represent and warrant to Party A as of execution hereof and on each transfer date of the Purchased Equity that:</w:t>
      </w:r>
    </w:p>
    <w:p>
      <w:pPr>
        <w:spacing w:after="0" w:line="162"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3.4 Party C has good and marketable title to its assets, and has not created any security interest over such assets;</w:t>
      </w:r>
    </w:p>
    <w:p>
      <w:pPr>
        <w:spacing w:after="0" w:line="225" w:lineRule="exact"/>
        <w:rPr>
          <w:sz w:val="20"/>
          <w:szCs w:val="20"/>
          <w:color w:val="auto"/>
        </w:rPr>
      </w:pPr>
    </w:p>
    <w:p>
      <w:pPr>
        <w:jc w:val="both"/>
        <w:ind w:left="832" w:hanging="430"/>
        <w:spacing w:after="0" w:line="282" w:lineRule="auto"/>
        <w:tabs>
          <w:tab w:leader="none" w:pos="812" w:val="left"/>
        </w:tabs>
        <w:rPr>
          <w:sz w:val="20"/>
          <w:szCs w:val="20"/>
          <w:color w:val="auto"/>
        </w:rPr>
      </w:pPr>
      <w:r>
        <w:rPr>
          <w:rFonts w:ascii="Times New Roman" w:cs="Times New Roman" w:eastAsia="Times New Roman" w:hAnsi="Times New Roman"/>
          <w:sz w:val="18"/>
          <w:szCs w:val="18"/>
          <w:color w:val="auto"/>
        </w:rPr>
        <w:t>3.5</w:t>
        <w:tab/>
        <w:t>Party C has no outstanding debts, except for (i) any debts incurred in the ordinary course of business, and (ii) any debts disclosed to and consented in writing by Party A;</w:t>
      </w:r>
    </w:p>
    <w:p>
      <w:pPr>
        <w:spacing w:after="0" w:line="162" w:lineRule="exact"/>
        <w:rPr>
          <w:sz w:val="20"/>
          <w:szCs w:val="20"/>
          <w:color w:val="auto"/>
        </w:rPr>
      </w:pPr>
    </w:p>
    <w:p>
      <w:pPr>
        <w:jc w:val="both"/>
        <w:ind w:left="892" w:hanging="430"/>
        <w:spacing w:after="0" w:line="258" w:lineRule="auto"/>
        <w:rPr>
          <w:sz w:val="20"/>
          <w:szCs w:val="20"/>
          <w:color w:val="auto"/>
        </w:rPr>
      </w:pPr>
      <w:r>
        <w:rPr>
          <w:rFonts w:ascii="Times New Roman" w:cs="Times New Roman" w:eastAsia="Times New Roman" w:hAnsi="Times New Roman"/>
          <w:sz w:val="18"/>
          <w:szCs w:val="18"/>
          <w:color w:val="auto"/>
        </w:rPr>
        <w:t>3.6 If Party C shall be dissolved or liquidated as required by the laws of China, it shall, to the extent permitted by the laws of China, sell all assets to Party A or other qualified entity designated by Party A at the minimum price permitted by the laws of China. Party C shall exempt Party A and the qualified entity designated by Party A from any payment obligation, or pay the proceeds from any transaction to Party A or the qualified entity designated by Party A as part of the service fee under the Exclusive Business Cooperation Agreement, to the extent permitted by the current laws of China.</w:t>
      </w:r>
    </w:p>
    <w:p>
      <w:pPr>
        <w:spacing w:after="0" w:line="183"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3.7 There is no pending or threatened litigation, arbitration or administrative procedure relating to Party C or its equity or asset.</w:t>
      </w:r>
    </w:p>
    <w:p>
      <w:pPr>
        <w:spacing w:after="0" w:line="221" w:lineRule="exact"/>
        <w:rPr>
          <w:sz w:val="20"/>
          <w:szCs w:val="20"/>
          <w:color w:val="auto"/>
        </w:rPr>
      </w:pPr>
    </w:p>
    <w:p>
      <w:pPr>
        <w:ind w:left="232" w:hanging="232"/>
        <w:spacing w:after="0"/>
        <w:tabs>
          <w:tab w:leader="none" w:pos="232"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7"/>
          <w:szCs w:val="17"/>
          <w:color w:val="auto"/>
        </w:rPr>
        <w:t>This Contract shall become effective when the Parties sign it. The term hereof is 10 years, and may be renewed upon written confirmation of Party A.</w:t>
      </w:r>
    </w:p>
    <w:p>
      <w:pPr>
        <w:spacing w:after="0" w:line="3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renewal term shall be determined by Party A in its sole discretion.</w:t>
      </w:r>
    </w:p>
    <w:p>
      <w:pPr>
        <w:spacing w:after="0" w:line="203" w:lineRule="exact"/>
        <w:rPr>
          <w:sz w:val="20"/>
          <w:szCs w:val="20"/>
          <w:color w:val="auto"/>
        </w:rPr>
      </w:pPr>
    </w:p>
    <w:p>
      <w:pPr>
        <w:ind w:left="492" w:right="7960" w:hanging="492"/>
        <w:spacing w:after="0" w:line="537" w:lineRule="auto"/>
        <w:tabs>
          <w:tab w:leader="none" w:pos="21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Applicable Law and Dispute Resolution </w:t>
      </w:r>
      <w:r>
        <w:rPr>
          <w:rFonts w:ascii="Times New Roman" w:cs="Times New Roman" w:eastAsia="Times New Roman" w:hAnsi="Times New Roman"/>
          <w:sz w:val="18"/>
          <w:szCs w:val="18"/>
          <w:color w:val="auto"/>
        </w:rPr>
        <w:t>5.1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853440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216" w:name="page217"/>
    <w:bookmarkEnd w:id="216"/>
    <w:p>
      <w:pPr>
        <w:jc w:val="both"/>
        <w:ind w:left="892"/>
        <w:spacing w:after="0" w:line="266" w:lineRule="auto"/>
        <w:rPr>
          <w:sz w:val="20"/>
          <w:szCs w:val="20"/>
          <w:color w:val="auto"/>
        </w:rPr>
      </w:pPr>
      <w:r>
        <w:rPr>
          <w:rFonts w:ascii="Times New Roman" w:cs="Times New Roman" w:eastAsia="Times New Roman" w:hAnsi="Times New Roman"/>
          <w:sz w:val="18"/>
          <w:szCs w:val="18"/>
          <w:color w:val="auto"/>
        </w:rPr>
        <w:t>The execution, validity, interpretation, performance, modification and termination hereof, and the resolution of any dispute hereunder shall be governed by the officially promulgated and publicly available laws of China. Any matter not covered by the officially promulgated and publicly available laws of China shall be governed by the international legal principles and conventions.</w:t>
      </w:r>
    </w:p>
    <w:p>
      <w:pPr>
        <w:spacing w:after="0" w:line="176"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5.2 Dispute Resolution</w:t>
      </w:r>
    </w:p>
    <w:p>
      <w:pPr>
        <w:spacing w:after="0" w:line="225" w:lineRule="exact"/>
        <w:rPr>
          <w:sz w:val="20"/>
          <w:szCs w:val="20"/>
          <w:color w:val="auto"/>
        </w:rPr>
      </w:pPr>
    </w:p>
    <w:p>
      <w:pPr>
        <w:jc w:val="both"/>
        <w:ind w:left="892"/>
        <w:spacing w:after="0" w:line="261" w:lineRule="auto"/>
        <w:rPr>
          <w:sz w:val="20"/>
          <w:szCs w:val="20"/>
          <w:color w:val="auto"/>
        </w:rPr>
      </w:pPr>
      <w:r>
        <w:rPr>
          <w:rFonts w:ascii="Times New Roman" w:cs="Times New Roman" w:eastAsia="Times New Roman" w:hAnsi="Times New Roman"/>
          <w:sz w:val="18"/>
          <w:szCs w:val="18"/>
          <w:color w:val="auto"/>
        </w:rPr>
        <w:t>If any dispute arises out of interpretation or performance of this Contract, the Parties shall consult to resolve such dispute amicably. If the Parties fail to reach an agreement on resolution of the dispute within 30 days after either Party proposes consultation, either Party may refer the dispute to China International Economic and Trade Arbitration Commission for arbitration according to the current arbitration rules of the Commission. The arbitration shall be conducted in Beijing in Chinese. The arbitration award shall be conclusive and bind the Parties.</w:t>
      </w:r>
    </w:p>
    <w:p>
      <w:pPr>
        <w:spacing w:after="0" w:line="176" w:lineRule="exact"/>
        <w:rPr>
          <w:sz w:val="20"/>
          <w:szCs w:val="20"/>
          <w:color w:val="auto"/>
        </w:rPr>
      </w:pPr>
    </w:p>
    <w:p>
      <w:pPr>
        <w:ind w:left="232" w:hanging="232"/>
        <w:spacing w:after="0"/>
        <w:tabs>
          <w:tab w:leader="none" w:pos="232"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Dues</w:t>
      </w:r>
    </w:p>
    <w:p>
      <w:pPr>
        <w:spacing w:after="0" w:line="229" w:lineRule="exact"/>
        <w:rPr>
          <w:sz w:val="20"/>
          <w:szCs w:val="20"/>
          <w:color w:val="auto"/>
        </w:rPr>
      </w:pPr>
    </w:p>
    <w:p>
      <w:pPr>
        <w:jc w:val="both"/>
        <w:ind w:left="452"/>
        <w:spacing w:after="0" w:line="266" w:lineRule="auto"/>
        <w:rPr>
          <w:sz w:val="20"/>
          <w:szCs w:val="20"/>
          <w:color w:val="auto"/>
        </w:rPr>
      </w:pPr>
      <w:r>
        <w:rPr>
          <w:rFonts w:ascii="Times New Roman" w:cs="Times New Roman" w:eastAsia="Times New Roman" w:hAnsi="Times New Roman"/>
          <w:sz w:val="18"/>
          <w:szCs w:val="18"/>
          <w:color w:val="auto"/>
        </w:rPr>
        <w:t>Each Party shall pay the taxes, expenses and costs on transfer and registration incurred by or imposed on it with respect to preparation and execution of this Contract and any Transfer Contract and consummation of the transactions hereunder and thereunder in accordance of applicable laws of China.</w:t>
      </w:r>
    </w:p>
    <w:p>
      <w:pPr>
        <w:spacing w:after="0" w:line="172" w:lineRule="exact"/>
        <w:rPr>
          <w:sz w:val="20"/>
          <w:szCs w:val="20"/>
          <w:color w:val="auto"/>
        </w:rPr>
      </w:pPr>
    </w:p>
    <w:p>
      <w:pPr>
        <w:ind w:left="232" w:hanging="232"/>
        <w:spacing w:after="0"/>
        <w:tabs>
          <w:tab w:leader="none" w:pos="232"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Notification</w:t>
      </w:r>
    </w:p>
    <w:p>
      <w:pPr>
        <w:spacing w:after="0" w:line="229" w:lineRule="exact"/>
        <w:rPr>
          <w:sz w:val="20"/>
          <w:szCs w:val="20"/>
          <w:color w:val="auto"/>
        </w:rPr>
      </w:pPr>
    </w:p>
    <w:p>
      <w:pPr>
        <w:jc w:val="both"/>
        <w:ind w:left="892" w:hanging="430"/>
        <w:spacing w:after="0" w:line="266" w:lineRule="auto"/>
        <w:rPr>
          <w:sz w:val="20"/>
          <w:szCs w:val="20"/>
          <w:color w:val="auto"/>
        </w:rPr>
      </w:pPr>
      <w:r>
        <w:rPr>
          <w:rFonts w:ascii="Times New Roman" w:cs="Times New Roman" w:eastAsia="Times New Roman" w:hAnsi="Times New Roman"/>
          <w:sz w:val="18"/>
          <w:szCs w:val="18"/>
          <w:color w:val="auto"/>
        </w:rPr>
        <w:t>7.1 All notices and other communications required or permitted by this Contract shall be sent to the designated address of each Party by personal delivery, postage-prepaid registered mail, commercial courier service or fax. A confirmation shall be sent by email for each notice. The notice shall be deemed given:</w:t>
      </w:r>
    </w:p>
    <w:p>
      <w:pPr>
        <w:spacing w:after="0" w:line="176" w:lineRule="exact"/>
        <w:rPr>
          <w:sz w:val="20"/>
          <w:szCs w:val="20"/>
          <w:color w:val="auto"/>
        </w:rPr>
      </w:pPr>
    </w:p>
    <w:p>
      <w:pPr>
        <w:ind w:left="1512" w:right="20" w:hanging="748"/>
        <w:spacing w:after="0" w:line="282" w:lineRule="auto"/>
        <w:tabs>
          <w:tab w:leader="none" w:pos="1492" w:val="left"/>
        </w:tabs>
        <w:rPr>
          <w:sz w:val="20"/>
          <w:szCs w:val="20"/>
          <w:color w:val="auto"/>
        </w:rPr>
      </w:pPr>
      <w:r>
        <w:rPr>
          <w:rFonts w:ascii="Times New Roman" w:cs="Times New Roman" w:eastAsia="Times New Roman" w:hAnsi="Times New Roman"/>
          <w:sz w:val="18"/>
          <w:szCs w:val="18"/>
          <w:color w:val="auto"/>
        </w:rPr>
        <w:t>7.1.1</w:t>
        <w:tab/>
        <w:t>When it is delivered or refused at the designated receiving address, in case of personal delivery, courier service or postage-prepaid registered mail.</w:t>
      </w:r>
    </w:p>
    <w:p>
      <w:pPr>
        <w:spacing w:after="0" w:line="162" w:lineRule="exact"/>
        <w:rPr>
          <w:sz w:val="20"/>
          <w:szCs w:val="20"/>
          <w:color w:val="auto"/>
        </w:rPr>
      </w:pPr>
    </w:p>
    <w:p>
      <w:pPr>
        <w:ind w:left="892"/>
        <w:spacing w:after="0"/>
        <w:tabs>
          <w:tab w:leader="none" w:pos="1412"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On the date when it is successfully transmitted evidenced by the transmission confirmation generated automatically, in case of fax.</w:t>
      </w:r>
    </w:p>
    <w:p>
      <w:pPr>
        <w:spacing w:after="0" w:line="225"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address of the Parties are as follows:</w:t>
      </w:r>
    </w:p>
    <w:p>
      <w:pPr>
        <w:sectPr>
          <w:pgSz w:w="11900" w:h="16838" w:orient="portrait"/>
          <w:cols w:equalWidth="0" w:num="1">
            <w:col w:w="11232"/>
          </w:cols>
          <w:pgMar w:left="328" w:top="1417" w:right="339" w:bottom="1440" w:gutter="0" w:footer="0" w:header="0"/>
        </w:sectPr>
      </w:pPr>
    </w:p>
    <w:p>
      <w:pPr>
        <w:spacing w:after="0" w:line="239"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Tianhua Wu</w:t>
      </w:r>
    </w:p>
    <w:p>
      <w:pPr>
        <w:spacing w:after="0" w:line="48" w:lineRule="exact"/>
        <w:rPr>
          <w:sz w:val="20"/>
          <w:szCs w:val="20"/>
          <w:color w:val="auto"/>
        </w:rPr>
      </w:pPr>
    </w:p>
    <w:p>
      <w:pPr>
        <w:sectPr>
          <w:pgSz w:w="11900" w:h="16838" w:orient="portrait"/>
          <w:cols w:equalWidth="0" w:num="2">
            <w:col w:w="2532" w:space="720"/>
            <w:col w:w="7980"/>
          </w:cols>
          <w:pgMar w:left="328" w:top="1417" w:right="339" w:bottom="1440" w:gutter="0" w:footer="0" w:header="0"/>
          <w:type w:val="continuous"/>
        </w:sectPr>
      </w:pPr>
    </w:p>
    <w:p>
      <w:pPr>
        <w:ind w:left="3252"/>
        <w:spacing w:after="0"/>
        <w:rPr>
          <w:sz w:val="20"/>
          <w:szCs w:val="20"/>
          <w:color w:val="auto"/>
        </w:rPr>
      </w:pPr>
      <w:r>
        <w:rPr>
          <w:rFonts w:ascii="Times New Roman" w:cs="Times New Roman" w:eastAsia="Times New Roman" w:hAnsi="Times New Roman"/>
          <w:sz w:val="18"/>
          <w:szCs w:val="18"/>
          <w:color w:val="auto"/>
        </w:rPr>
        <w:t>Address: [PERSONAL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7"/>
          <w:szCs w:val="17"/>
          <w:color w:val="auto"/>
        </w:rPr>
        <w:t>Mobile: [PERSONAL PHONE NUMBER]</w:t>
      </w:r>
    </w:p>
    <w:p>
      <w:pPr>
        <w:spacing w:after="0" w:line="48"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Email: [EMAIL ADDRESS]</w:t>
      </w:r>
    </w:p>
    <w:p>
      <w:pPr>
        <w:sectPr>
          <w:pgSz w:w="11900" w:h="16838" w:orient="portrait"/>
          <w:cols w:equalWidth="0" w:num="1">
            <w:col w:w="11232"/>
          </w:cols>
          <w:pgMar w:left="328" w:top="1417" w:right="339" w:bottom="1440" w:gutter="0" w:footer="0" w:header="0"/>
          <w:type w:val="continuous"/>
        </w:sectPr>
      </w:pPr>
    </w:p>
    <w:p>
      <w:pPr>
        <w:spacing w:after="0" w:line="279"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2.</w:t>
      </w:r>
    </w:p>
    <w:p>
      <w:pPr>
        <w:spacing w:after="0" w:line="200" w:lineRule="exact"/>
        <w:rPr>
          <w:sz w:val="20"/>
          <w:szCs w:val="20"/>
          <w:color w:val="auto"/>
        </w:rPr>
      </w:pPr>
    </w:p>
    <w:p>
      <w:pPr>
        <w:sectPr>
          <w:pgSz w:w="11900" w:h="16838" w:orient="portrait"/>
          <w:cols w:equalWidth="0" w:num="2">
            <w:col w:w="2532" w:space="720"/>
            <w:col w:w="7980"/>
          </w:cols>
          <w:pgMar w:left="328" w:top="1417" w:right="339" w:bottom="1440" w:gutter="0" w:footer="0" w:header="0"/>
          <w:type w:val="continuous"/>
        </w:sectPr>
      </w:pPr>
    </w:p>
    <w:p>
      <w:pPr>
        <w:spacing w:after="0" w:line="79"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7"/>
          <w:szCs w:val="17"/>
          <w:color w:val="auto"/>
        </w:rPr>
        <w:t>Party 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Ming Dong</w:t>
      </w:r>
    </w:p>
    <w:p>
      <w:pPr>
        <w:spacing w:after="0" w:line="48" w:lineRule="exact"/>
        <w:rPr>
          <w:sz w:val="20"/>
          <w:szCs w:val="20"/>
          <w:color w:val="auto"/>
        </w:rPr>
      </w:pPr>
    </w:p>
    <w:p>
      <w:pPr>
        <w:sectPr>
          <w:pgSz w:w="11900" w:h="16838" w:orient="portrait"/>
          <w:cols w:equalWidth="0" w:num="2">
            <w:col w:w="2532" w:space="720"/>
            <w:col w:w="7980"/>
          </w:cols>
          <w:pgMar w:left="328" w:top="1417" w:right="339" w:bottom="1440" w:gutter="0" w:footer="0" w:header="0"/>
          <w:type w:val="continuous"/>
        </w:sectPr>
      </w:pPr>
    </w:p>
    <w:p>
      <w:pPr>
        <w:ind w:left="3252"/>
        <w:spacing w:after="0"/>
        <w:rPr>
          <w:sz w:val="20"/>
          <w:szCs w:val="20"/>
          <w:color w:val="auto"/>
        </w:rPr>
      </w:pPr>
      <w:r>
        <w:rPr>
          <w:rFonts w:ascii="Times New Roman" w:cs="Times New Roman" w:eastAsia="Times New Roman" w:hAnsi="Times New Roman"/>
          <w:sz w:val="18"/>
          <w:szCs w:val="18"/>
          <w:color w:val="auto"/>
        </w:rPr>
        <w:t>Address: [PERSONAL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[PERSONAL ADDRESS]</w:t>
      </w:r>
    </w:p>
    <w:p>
      <w:pPr>
        <w:spacing w:after="0" w:line="36"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7"/>
          <w:szCs w:val="17"/>
          <w:color w:val="auto"/>
        </w:rPr>
        <w:t>Mobile: [PERSONAL PHONE NUMBER]</w:t>
      </w:r>
    </w:p>
    <w:p>
      <w:pPr>
        <w:spacing w:after="0" w:line="48"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18"/>
          <w:szCs w:val="18"/>
          <w:color w:val="auto"/>
        </w:rPr>
        <w:t>Email: [EMAIL ADDRESS]</w:t>
      </w:r>
    </w:p>
    <w:p>
      <w:pPr>
        <w:sectPr>
          <w:pgSz w:w="11900" w:h="16838" w:orient="portrait"/>
          <w:cols w:equalWidth="0" w:num="1">
            <w:col w:w="11232"/>
          </w:cols>
          <w:pgMar w:left="328" w:top="1417" w:right="339" w:bottom="1440" w:gutter="0" w:footer="0" w:header="0"/>
          <w:type w:val="continuous"/>
        </w:sectPr>
      </w:pPr>
    </w:p>
    <w:p>
      <w:pPr>
        <w:spacing w:after="0" w:line="235" w:lineRule="exact"/>
        <w:rPr>
          <w:sz w:val="20"/>
          <w:szCs w:val="20"/>
          <w:color w:val="auto"/>
        </w:rPr>
      </w:pPr>
    </w:p>
    <w:p>
      <w:pPr>
        <w:ind w:left="232" w:hanging="232"/>
        <w:spacing w:after="0"/>
        <w:tabs>
          <w:tab w:leader="none" w:pos="23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Obligation</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Parties acknowledge that any oral or written information exchanged between them with respect to this Contract are confidential information.</w:t>
      </w:r>
    </w:p>
    <w:p>
      <w:pPr>
        <w:spacing w:after="0" w:line="2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Each Party shall keep such information confidential, and shall not disclosure such information to any third party without written consent of the other</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Parties, except for any information (a) known to the public (not through disclosure by the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884555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type w:val="continuous"/>
        </w:sectPr>
      </w:pPr>
    </w:p>
    <w:bookmarkStart w:id="217" w:name="page218"/>
    <w:bookmarkEnd w:id="217"/>
    <w:p>
      <w:pPr>
        <w:jc w:val="both"/>
        <w:ind w:left="452"/>
        <w:spacing w:after="0" w:line="258" w:lineRule="auto"/>
        <w:rPr>
          <w:sz w:val="20"/>
          <w:szCs w:val="20"/>
          <w:color w:val="auto"/>
        </w:rPr>
      </w:pPr>
      <w:r>
        <w:rPr>
          <w:rFonts w:ascii="Times New Roman" w:cs="Times New Roman" w:eastAsia="Times New Roman" w:hAnsi="Times New Roman"/>
          <w:sz w:val="18"/>
          <w:szCs w:val="18"/>
          <w:color w:val="auto"/>
        </w:rPr>
        <w:t>Party); (b) the disclosure of which is required by applicable laws or any rules or regulations of any stock exchange; or (c) required by any transaction contemplated herein to be disclosed to either Party’s legal or financial consultant who shall be bound by any confidentiality obligations similar to those under this Clause 8. Any disclosure by any personnel or organization employed by either Party shall be deemed disclosure by such Party, and such Party shall be liable for breach by the personnel or organization of this Contract. This Clause 8 shall survive termination of this Contract for whatever reasons.</w:t>
      </w:r>
    </w:p>
    <w:p>
      <w:pPr>
        <w:spacing w:after="0" w:line="179" w:lineRule="exact"/>
        <w:rPr>
          <w:sz w:val="20"/>
          <w:szCs w:val="20"/>
          <w:color w:val="auto"/>
        </w:rPr>
      </w:pPr>
    </w:p>
    <w:p>
      <w:pPr>
        <w:ind w:left="232" w:hanging="232"/>
        <w:spacing w:after="0"/>
        <w:tabs>
          <w:tab w:leader="none" w:pos="232"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Warranties</w:t>
      </w:r>
    </w:p>
    <w:p>
      <w:pPr>
        <w:spacing w:after="0" w:line="229" w:lineRule="exact"/>
        <w:rPr>
          <w:sz w:val="20"/>
          <w:szCs w:val="20"/>
          <w:color w:val="auto"/>
        </w:rPr>
      </w:pPr>
    </w:p>
    <w:p>
      <w:pPr>
        <w:ind w:left="452"/>
        <w:spacing w:after="0" w:line="282" w:lineRule="auto"/>
        <w:rPr>
          <w:sz w:val="20"/>
          <w:szCs w:val="20"/>
          <w:color w:val="auto"/>
        </w:rPr>
      </w:pPr>
      <w:r>
        <w:rPr>
          <w:rFonts w:ascii="Times New Roman" w:cs="Times New Roman" w:eastAsia="Times New Roman" w:hAnsi="Times New Roman"/>
          <w:sz w:val="18"/>
          <w:szCs w:val="18"/>
          <w:color w:val="auto"/>
        </w:rPr>
        <w:t>The Parties agree to execute documents and take further actions reasonably required for performance of the provisions and achievement of purpose hereof or desirable to the Parties.</w:t>
      </w:r>
    </w:p>
    <w:p>
      <w:pPr>
        <w:spacing w:after="0" w:line="158" w:lineRule="exact"/>
        <w:rPr>
          <w:sz w:val="20"/>
          <w:szCs w:val="20"/>
          <w:color w:val="auto"/>
        </w:rPr>
      </w:pPr>
    </w:p>
    <w:p>
      <w:pPr>
        <w:ind w:left="312" w:hanging="312"/>
        <w:spacing w:after="0"/>
        <w:tabs>
          <w:tab w:leader="none" w:pos="312"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Breaching Liabilities</w:t>
      </w:r>
    </w:p>
    <w:p>
      <w:pPr>
        <w:spacing w:after="0" w:line="229" w:lineRule="exact"/>
        <w:rPr>
          <w:sz w:val="20"/>
          <w:szCs w:val="20"/>
          <w:color w:val="auto"/>
        </w:rPr>
      </w:pPr>
    </w:p>
    <w:p>
      <w:pPr>
        <w:jc w:val="both"/>
        <w:ind w:left="952" w:hanging="748"/>
        <w:spacing w:after="0" w:line="256" w:lineRule="auto"/>
        <w:tabs>
          <w:tab w:leader="none" w:pos="932" w:val="left"/>
        </w:tabs>
        <w:rPr>
          <w:sz w:val="20"/>
          <w:szCs w:val="20"/>
          <w:color w:val="auto"/>
        </w:rPr>
      </w:pPr>
      <w:r>
        <w:rPr>
          <w:rFonts w:ascii="Times New Roman" w:cs="Times New Roman" w:eastAsia="Times New Roman" w:hAnsi="Times New Roman"/>
          <w:sz w:val="18"/>
          <w:szCs w:val="18"/>
          <w:color w:val="auto"/>
        </w:rPr>
        <w:t>10.1</w:t>
        <w:tab/>
        <w:t>If Party B or Party C materially breaches any provision hereof, Party A has the right to terminate this Contract and/or request Party B or Party C to compensate. This Clause 10 shall not impair any other rights of Party A hereunder. Notwithstanding any contrary provisions hereof, the founding shareholders and Party C shall be jointly and severally responsible for any breach of any provision hereof, provided that they shall not be jointly and severally responsible for any breach of this Contract by any person of Party B other than the founding shareholders. Each person of Party B other than the founding shareholders shall be severally responsible for his breach of this Contract, and shall not be jointly and severally responsible for other’s breach of this Contract.</w:t>
      </w:r>
    </w:p>
    <w:p>
      <w:pPr>
        <w:spacing w:after="0" w:line="187" w:lineRule="exact"/>
        <w:rPr>
          <w:sz w:val="20"/>
          <w:szCs w:val="20"/>
          <w:color w:val="auto"/>
        </w:rPr>
      </w:pPr>
    </w:p>
    <w:p>
      <w:pPr>
        <w:ind w:left="492"/>
        <w:spacing w:after="0"/>
        <w:tabs>
          <w:tab w:leader="none" w:pos="1012" w:val="left"/>
        </w:tabs>
        <w:rPr>
          <w:sz w:val="20"/>
          <w:szCs w:val="20"/>
          <w:color w:val="auto"/>
        </w:rPr>
      </w:pPr>
      <w:r>
        <w:rPr>
          <w:rFonts w:ascii="Times New Roman" w:cs="Times New Roman" w:eastAsia="Times New Roman" w:hAnsi="Times New Roman"/>
          <w:sz w:val="18"/>
          <w:szCs w:val="18"/>
          <w:color w:val="auto"/>
        </w:rPr>
        <w:t>10.2</w:t>
        <w:tab/>
        <w:t>Unless laws provide otherwise, Party B or Party C has no right to terminate or rescind this Contract in whatever circumstances.</w:t>
      </w:r>
    </w:p>
    <w:p>
      <w:pPr>
        <w:spacing w:after="0" w:line="221" w:lineRule="exact"/>
        <w:rPr>
          <w:sz w:val="20"/>
          <w:szCs w:val="20"/>
          <w:color w:val="auto"/>
        </w:rPr>
      </w:pPr>
    </w:p>
    <w:p>
      <w:pPr>
        <w:ind w:left="252" w:hanging="252"/>
        <w:spacing w:after="0"/>
        <w:tabs>
          <w:tab w:leader="none" w:pos="252"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Others</w:t>
      </w:r>
    </w:p>
    <w:p>
      <w:pPr>
        <w:spacing w:after="0" w:line="229" w:lineRule="exact"/>
        <w:rPr>
          <w:sz w:val="20"/>
          <w:szCs w:val="20"/>
          <w:color w:val="auto"/>
        </w:rPr>
      </w:pPr>
    </w:p>
    <w:p>
      <w:pPr>
        <w:ind w:left="452"/>
        <w:spacing w:after="0"/>
        <w:tabs>
          <w:tab w:leader="none" w:pos="912" w:val="left"/>
        </w:tabs>
        <w:rPr>
          <w:sz w:val="20"/>
          <w:szCs w:val="20"/>
          <w:color w:val="auto"/>
        </w:rPr>
      </w:pPr>
      <w:r>
        <w:rPr>
          <w:rFonts w:ascii="Times New Roman" w:cs="Times New Roman" w:eastAsia="Times New Roman" w:hAnsi="Times New Roman"/>
          <w:sz w:val="18"/>
          <w:szCs w:val="18"/>
          <w:color w:val="auto"/>
        </w:rPr>
        <w:t>11.1</w:t>
        <w:tab/>
        <w:t>Amendment, Modification and Supplement</w:t>
      </w:r>
    </w:p>
    <w:p>
      <w:pPr>
        <w:spacing w:after="0" w:line="225"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8"/>
          <w:szCs w:val="18"/>
          <w:color w:val="auto"/>
        </w:rPr>
        <w:t>Any amendment to, modification of or supplement to this Contract shall be signed by the Parties in writing.</w:t>
      </w:r>
    </w:p>
    <w:p>
      <w:pPr>
        <w:spacing w:after="0" w:line="225" w:lineRule="exact"/>
        <w:rPr>
          <w:sz w:val="20"/>
          <w:szCs w:val="20"/>
          <w:color w:val="auto"/>
        </w:rPr>
      </w:pPr>
    </w:p>
    <w:p>
      <w:pPr>
        <w:ind w:left="452"/>
        <w:spacing w:after="0"/>
        <w:tabs>
          <w:tab w:leader="none" w:pos="97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Entire Contract</w:t>
      </w:r>
    </w:p>
    <w:p>
      <w:pPr>
        <w:spacing w:after="0" w:line="225" w:lineRule="exact"/>
        <w:rPr>
          <w:sz w:val="20"/>
          <w:szCs w:val="20"/>
          <w:color w:val="auto"/>
        </w:rPr>
      </w:pPr>
    </w:p>
    <w:p>
      <w:pPr>
        <w:jc w:val="both"/>
        <w:ind w:left="1192"/>
        <w:spacing w:after="0" w:line="266" w:lineRule="auto"/>
        <w:rPr>
          <w:sz w:val="20"/>
          <w:szCs w:val="20"/>
          <w:color w:val="auto"/>
        </w:rPr>
      </w:pPr>
      <w:r>
        <w:rPr>
          <w:rFonts w:ascii="Times New Roman" w:cs="Times New Roman" w:eastAsia="Times New Roman" w:hAnsi="Times New Roman"/>
          <w:sz w:val="18"/>
          <w:szCs w:val="18"/>
          <w:color w:val="auto"/>
        </w:rPr>
        <w:t>Except for any written amendment, supplement or modification made after execution hereof, this Contract shall constitute the entire agreement between the Parties with respect to the subject matter hereof, and shall supersede all prior oral or written negotiations, representations and contracts between the Parties with respect to the subject matter hereof.</w:t>
      </w:r>
    </w:p>
    <w:p>
      <w:pPr>
        <w:spacing w:after="0" w:line="176" w:lineRule="exact"/>
        <w:rPr>
          <w:sz w:val="20"/>
          <w:szCs w:val="20"/>
          <w:color w:val="auto"/>
        </w:rPr>
      </w:pPr>
    </w:p>
    <w:p>
      <w:pPr>
        <w:ind w:left="452"/>
        <w:spacing w:after="0"/>
        <w:tabs>
          <w:tab w:leader="none" w:pos="912" w:val="left"/>
        </w:tabs>
        <w:rPr>
          <w:sz w:val="20"/>
          <w:szCs w:val="20"/>
          <w:color w:val="auto"/>
        </w:rPr>
      </w:pPr>
      <w:r>
        <w:rPr>
          <w:rFonts w:ascii="Times New Roman" w:cs="Times New Roman" w:eastAsia="Times New Roman" w:hAnsi="Times New Roman"/>
          <w:sz w:val="18"/>
          <w:szCs w:val="18"/>
          <w:color w:val="auto"/>
        </w:rPr>
        <w:t>11.3</w:t>
        <w:tab/>
        <w:t>Headings</w:t>
      </w:r>
    </w:p>
    <w:p>
      <w:pPr>
        <w:spacing w:after="0" w:line="225" w:lineRule="exact"/>
        <w:rPr>
          <w:sz w:val="20"/>
          <w:szCs w:val="20"/>
          <w:color w:val="auto"/>
        </w:rPr>
      </w:pPr>
    </w:p>
    <w:p>
      <w:pPr>
        <w:jc w:val="both"/>
        <w:ind w:left="1192"/>
        <w:spacing w:after="0" w:line="282" w:lineRule="auto"/>
        <w:rPr>
          <w:sz w:val="20"/>
          <w:szCs w:val="20"/>
          <w:color w:val="auto"/>
        </w:rPr>
      </w:pPr>
      <w:r>
        <w:rPr>
          <w:rFonts w:ascii="Times New Roman" w:cs="Times New Roman" w:eastAsia="Times New Roman" w:hAnsi="Times New Roman"/>
          <w:sz w:val="18"/>
          <w:szCs w:val="18"/>
          <w:color w:val="auto"/>
        </w:rPr>
        <w:t>The headings herein are inserted for convenience only, and shall not be used to interpret, explain or otherwise affect the meanings of any provisions hereof.</w:t>
      </w:r>
    </w:p>
    <w:p>
      <w:pPr>
        <w:spacing w:after="0" w:line="162" w:lineRule="exact"/>
        <w:rPr>
          <w:sz w:val="20"/>
          <w:szCs w:val="20"/>
          <w:color w:val="auto"/>
        </w:rPr>
      </w:pPr>
    </w:p>
    <w:p>
      <w:pPr>
        <w:ind w:left="452"/>
        <w:spacing w:after="0"/>
        <w:tabs>
          <w:tab w:leader="none" w:pos="1012"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Language</w:t>
      </w:r>
    </w:p>
    <w:p>
      <w:pPr>
        <w:spacing w:after="0" w:line="225" w:lineRule="exact"/>
        <w:rPr>
          <w:sz w:val="20"/>
          <w:szCs w:val="20"/>
          <w:color w:val="auto"/>
        </w:rPr>
      </w:pPr>
    </w:p>
    <w:p>
      <w:pPr>
        <w:jc w:val="both"/>
        <w:ind w:left="1192"/>
        <w:spacing w:after="0" w:line="266" w:lineRule="auto"/>
        <w:rPr>
          <w:sz w:val="20"/>
          <w:szCs w:val="20"/>
          <w:color w:val="auto"/>
        </w:rPr>
      </w:pPr>
      <w:r>
        <w:rPr>
          <w:rFonts w:ascii="Times New Roman" w:cs="Times New Roman" w:eastAsia="Times New Roman" w:hAnsi="Times New Roman"/>
          <w:sz w:val="18"/>
          <w:szCs w:val="18"/>
          <w:color w:val="auto"/>
        </w:rPr>
        <w:t>This Contract is written in Chinese. This Contract is made in four (4) counterparts, with each Party holding one (1) counterpart. All counterparts have equal legal force. The Parties specifically agree that the signed electronic copies in PDF format exchanged by the Parties via email shall be deemed originals, and can serve as evidence of the formation of this Agreement.</w:t>
      </w:r>
    </w:p>
    <w:p>
      <w:pPr>
        <w:spacing w:after="0" w:line="176" w:lineRule="exact"/>
        <w:rPr>
          <w:sz w:val="20"/>
          <w:szCs w:val="20"/>
          <w:color w:val="auto"/>
        </w:rPr>
      </w:pPr>
    </w:p>
    <w:p>
      <w:pPr>
        <w:ind w:left="452"/>
        <w:spacing w:after="0"/>
        <w:tabs>
          <w:tab w:leader="none" w:pos="972"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Severability</w:t>
      </w:r>
    </w:p>
    <w:p>
      <w:pPr>
        <w:spacing w:after="0" w:line="225" w:lineRule="exact"/>
        <w:rPr>
          <w:sz w:val="20"/>
          <w:szCs w:val="20"/>
          <w:color w:val="auto"/>
        </w:rPr>
      </w:pPr>
    </w:p>
    <w:p>
      <w:pPr>
        <w:jc w:val="both"/>
        <w:ind w:left="1192"/>
        <w:spacing w:after="0" w:line="282" w:lineRule="auto"/>
        <w:rPr>
          <w:sz w:val="20"/>
          <w:szCs w:val="20"/>
          <w:color w:val="auto"/>
        </w:rPr>
      </w:pPr>
      <w:r>
        <w:rPr>
          <w:rFonts w:ascii="Times New Roman" w:cs="Times New Roman" w:eastAsia="Times New Roman" w:hAnsi="Times New Roman"/>
          <w:sz w:val="18"/>
          <w:szCs w:val="18"/>
          <w:color w:val="auto"/>
        </w:rPr>
        <w:t>If any or several provisions hereof are decided void, illegal or unenforceable in any respect according to any laws or regulations, the validity, legality or enforceability of the remaining provisions hereof shall not be affected or impaired in any respect.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855980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218" w:name="page219"/>
    <w:bookmarkEnd w:id="218"/>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shall consult in good faith to replace such void, illegal or unenforceable provisions with valid provisions to the maximum extent permitted by laws and expected by the Parties, so that the valid provisions have as much similar economic effect to that of those void, illegal or unenforceable as possible.</w:t>
      </w:r>
    </w:p>
    <w:p>
      <w:pPr>
        <w:spacing w:after="0" w:line="1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Transfer and Successors</w:t>
      </w:r>
    </w:p>
    <w:p>
      <w:pPr>
        <w:spacing w:after="0" w:line="225" w:lineRule="exact"/>
        <w:rPr>
          <w:sz w:val="20"/>
          <w:szCs w:val="20"/>
          <w:color w:val="auto"/>
        </w:rPr>
      </w:pPr>
    </w:p>
    <w:p>
      <w:pPr>
        <w:jc w:val="both"/>
        <w:ind w:left="1200" w:hanging="454"/>
        <w:spacing w:after="0" w:line="266" w:lineRule="auto"/>
        <w:tabs>
          <w:tab w:leader="none" w:pos="11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not transfer its rights and obligations hereunder to any third party without prior written consent of Party A. Party B agrees that Party A may send Party B a prior written notice to transfer its rights and obligations hereunder to any third party without consent of Party B.</w:t>
      </w:r>
    </w:p>
    <w:p>
      <w:pPr>
        <w:spacing w:after="0" w:line="175" w:lineRule="exact"/>
        <w:rPr>
          <w:rFonts w:ascii="Times New Roman" w:cs="Times New Roman" w:eastAsia="Times New Roman" w:hAnsi="Times New Roman"/>
          <w:sz w:val="18"/>
          <w:szCs w:val="18"/>
          <w:color w:val="auto"/>
        </w:rPr>
      </w:pPr>
    </w:p>
    <w:p>
      <w:pPr>
        <w:ind w:left="1100" w:hanging="354"/>
        <w:spacing w:after="0"/>
        <w:tabs>
          <w:tab w:leader="none" w:pos="11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shall bind the successors and assigns of each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Survival</w:t>
      </w:r>
    </w:p>
    <w:p>
      <w:pPr>
        <w:spacing w:after="0" w:line="225" w:lineRule="exact"/>
        <w:rPr>
          <w:sz w:val="20"/>
          <w:szCs w:val="20"/>
          <w:color w:val="auto"/>
        </w:rPr>
      </w:pPr>
    </w:p>
    <w:p>
      <w:pPr>
        <w:jc w:val="both"/>
        <w:ind w:left="1340" w:hanging="748"/>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11.7.1</w:t>
        <w:tab/>
        <w:t>Any obligation occurred or due before expiration or early termination of this Contract shall survive such expiration or early termination.</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11.7.2 Clauses 5, 7, 8 and 11.7 shall survive termination of this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Waiver</w:t>
      </w:r>
    </w:p>
    <w:p>
      <w:pPr>
        <w:spacing w:after="0" w:line="225"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Either Party may waive any terms and conditions hereof, provided that such waiver shall be in writing and signed by the Parties. Any waiver by either Party of other Party’s breach shall not be deemed waiver of any similar breach by the above breaching Party in other circumstances.</w:t>
      </w:r>
    </w:p>
    <w:p>
      <w:pPr>
        <w:spacing w:after="0" w:line="1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1171575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417" w:right="339" w:bottom="1440" w:gutter="0" w:footer="0" w:header="0"/>
        </w:sectPr>
      </w:pPr>
    </w:p>
    <w:bookmarkStart w:id="219" w:name="page220"/>
    <w:bookmarkEnd w:id="2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Bohu Xiangshang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Bohu Xiangshang Technology Co., Ltd.</w:t>
      </w:r>
    </w:p>
    <w:p>
      <w:pPr>
        <w:spacing w:after="0" w:line="250" w:lineRule="exact"/>
        <w:rPr>
          <w:sz w:val="20"/>
          <w:szCs w:val="20"/>
          <w:color w:val="auto"/>
        </w:rPr>
      </w:pPr>
    </w:p>
    <w:p>
      <w:pPr>
        <w:ind w:left="20"/>
        <w:spacing w:after="0"/>
        <w:tabs>
          <w:tab w:leader="none" w:pos="314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8"/>
          <w:szCs w:val="18"/>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26035</wp:posOffset>
            </wp:positionV>
            <wp:extent cx="17830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Exclusive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Beijing Xiangshang Rongke Technology Development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Xiangshang Rongke Technology Development Co., Ltd.</w:t>
      </w:r>
    </w:p>
    <w:p>
      <w:pPr>
        <w:spacing w:after="0" w:line="250" w:lineRule="exact"/>
        <w:rPr>
          <w:sz w:val="20"/>
          <w:szCs w:val="20"/>
          <w:color w:val="auto"/>
        </w:rPr>
      </w:pPr>
    </w:p>
    <w:p>
      <w:pPr>
        <w:ind w:left="20"/>
        <w:spacing w:after="0"/>
        <w:tabs>
          <w:tab w:leader="none" w:pos="314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8"/>
          <w:szCs w:val="18"/>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26035</wp:posOffset>
            </wp:positionV>
            <wp:extent cx="16459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Exclusive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Tianhua Wu</w:t>
      </w:r>
    </w:p>
    <w:p>
      <w:pPr>
        <w:spacing w:after="0" w:line="243"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Tianhua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26035</wp:posOffset>
            </wp:positionV>
            <wp:extent cx="275145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Exclusive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Ming Dong</w:t>
      </w:r>
    </w:p>
    <w:p>
      <w:pPr>
        <w:spacing w:after="0" w:line="243"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26035</wp:posOffset>
            </wp:positionV>
            <wp:extent cx="275145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Exclusive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23" w:name="page224"/>
    <w:bookmarkEnd w:id="223"/>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1 List of Shareholders of Beijing Xiangshang Rongke Technology Development Co., Ltd.</w:t>
      </w:r>
    </w:p>
    <w:p>
      <w:pPr>
        <w:spacing w:after="0" w:line="249" w:lineRule="exact"/>
        <w:rPr>
          <w:sz w:val="20"/>
          <w:szCs w:val="20"/>
          <w:color w:val="auto"/>
        </w:rPr>
      </w:pPr>
    </w:p>
    <w:p>
      <w:pPr>
        <w:ind w:left="440" w:hanging="432"/>
        <w:spacing w:after="0"/>
        <w:tabs>
          <w:tab w:leader="none" w:pos="4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Tianhua Wu, a Chinese citizen, with the ID No. ##################;</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Ming Dong, a Chinese citizen, with the ID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1290320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4" w:name="page225"/>
    <w:bookmarkEnd w:id="224"/>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 List of Party B’s Contact Information</w:t>
      </w:r>
    </w:p>
    <w:p>
      <w:pPr>
        <w:spacing w:after="0" w:line="239" w:lineRule="exact"/>
        <w:rPr>
          <w:sz w:val="20"/>
          <w:szCs w:val="20"/>
          <w:color w:val="auto"/>
        </w:rPr>
      </w:pPr>
    </w:p>
    <w:p>
      <w:pPr>
        <w:ind w:left="20"/>
        <w:spacing w:after="0"/>
        <w:tabs>
          <w:tab w:leader="none" w:pos="3660" w:val="left"/>
        </w:tabs>
        <w:rPr>
          <w:sz w:val="20"/>
          <w:szCs w:val="20"/>
          <w:color w:val="auto"/>
        </w:rPr>
      </w:pPr>
      <w:r>
        <w:rPr>
          <w:rFonts w:ascii="Times New Roman" w:cs="Times New Roman" w:eastAsia="Times New Roman" w:hAnsi="Times New Roman"/>
          <w:sz w:val="18"/>
          <w:szCs w:val="18"/>
          <w:b w:val="1"/>
          <w:bCs w:val="1"/>
          <w:color w:val="auto"/>
        </w:rPr>
        <w:t>Tianhua Wu</w:t>
      </w:r>
      <w:r>
        <w:rPr>
          <w:sz w:val="20"/>
          <w:szCs w:val="20"/>
          <w:color w:val="auto"/>
        </w:rPr>
        <w:tab/>
      </w:r>
      <w:r>
        <w:rPr>
          <w:rFonts w:ascii="Times New Roman" w:cs="Times New Roman" w:eastAsia="Times New Roman" w:hAnsi="Times New Roman"/>
          <w:sz w:val="17"/>
          <w:szCs w:val="17"/>
          <w:color w:val="auto"/>
        </w:rPr>
        <w:t>Attention: Tianhua Wu</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Address: [PERSONAL ADDRESS]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Tel: [PERSONAL PHONE NUMBER]</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Ming Dong</w:t>
            </w:r>
          </w:p>
        </w:tc>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Attention: Ming Dong</w:t>
            </w:r>
          </w:p>
        </w:tc>
      </w:tr>
      <w:tr>
        <w:trPr>
          <w:trHeight w:val="216"/>
        </w:trPr>
        <w:tc>
          <w:tcPr>
            <w:tcW w:w="3180" w:type="dxa"/>
            <w:vAlign w:val="bottom"/>
          </w:tcPr>
          <w:p>
            <w:pPr>
              <w:spacing w:after="0"/>
              <w:rPr>
                <w:sz w:val="18"/>
                <w:szCs w:val="18"/>
                <w:color w:val="auto"/>
              </w:rPr>
            </w:pPr>
          </w:p>
        </w:tc>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Address: [PERSONAL ADDRESS]</w:t>
            </w:r>
          </w:p>
        </w:tc>
      </w:tr>
      <w:tr>
        <w:trPr>
          <w:trHeight w:val="216"/>
        </w:trPr>
        <w:tc>
          <w:tcPr>
            <w:tcW w:w="3180" w:type="dxa"/>
            <w:vAlign w:val="bottom"/>
          </w:tcPr>
          <w:p>
            <w:pPr>
              <w:spacing w:after="0"/>
              <w:rPr>
                <w:sz w:val="18"/>
                <w:szCs w:val="18"/>
                <w:color w:val="auto"/>
              </w:rPr>
            </w:pPr>
          </w:p>
        </w:tc>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 [PERSONAL PHONE NUMBER]</w:t>
            </w:r>
          </w:p>
        </w:tc>
      </w:tr>
      <w:tr>
        <w:trPr>
          <w:trHeight w:val="234"/>
        </w:trPr>
        <w:tc>
          <w:tcPr>
            <w:tcW w:w="3180" w:type="dxa"/>
            <w:vAlign w:val="bottom"/>
          </w:tcPr>
          <w:p>
            <w:pPr>
              <w:spacing w:after="0"/>
              <w:rPr>
                <w:sz w:val="20"/>
                <w:szCs w:val="20"/>
                <w:color w:val="auto"/>
              </w:rPr>
            </w:pPr>
          </w:p>
        </w:tc>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Email: [EMAIL ADDRESS]</w:t>
            </w:r>
          </w:p>
        </w:tc>
      </w:tr>
      <w:tr>
        <w:trPr>
          <w:trHeight w:val="66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Exhibit of Exclusive Option Contract</w:t>
            </w:r>
          </w:p>
        </w:tc>
        <w:tc>
          <w:tcPr>
            <w:tcW w:w="8060" w:type="dxa"/>
            <w:vAlign w:val="bottom"/>
          </w:tcPr>
          <w:p>
            <w:pPr>
              <w:spacing w:after="0"/>
              <w:rPr>
                <w:sz w:val="24"/>
                <w:szCs w:val="24"/>
                <w:color w:val="auto"/>
              </w:rPr>
            </w:pPr>
          </w:p>
        </w:tc>
      </w:tr>
      <w:tr>
        <w:trPr>
          <w:trHeight w:val="1843"/>
        </w:trPr>
        <w:tc>
          <w:tcPr>
            <w:tcW w:w="31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Pledge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equity pledge contract (“Contract”) is made by the following parties on November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Beijing Bohu Xiangshang Technology Co., Ltd.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Social Credit Codes: 91640000MA76EDEQ9Q</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the shareholders set forth in Exhibit 1 (List of Shareholders of Beijing Xiangshang Rongke Technology Development Co., Ltd.) attached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as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Xiangshang Rongke Technology Development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Social Credit Codes: 91110105397574386P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 hereof, each of Party A, Party B and Party C is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460" w:hanging="452"/>
        <w:spacing w:after="0" w:line="282" w:lineRule="auto"/>
        <w:tabs>
          <w:tab w:leader="none" w:pos="39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limited liability company duly incorporated and validly existing according to the laws of China. The Pledgors hold 100% equity in Party C.</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37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limited liability company duly incorporated and validly existing according to the laws of China. The Pledgee and Party C entered into a series of Transaction Documents (as defined below) and as of execution of this Contract;</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guarantee that Party C and the Pledgors will perform the obligations under the Transaction Documents, the Pledgors create a pledge over 100% equity in Party C in favor of the Pledgee;</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4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acknowledges the rights and obligations of the Pledgors and the Pledgee hereunder, and agrees to provide any assistance required for registration of the pledge.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Therefore</w:t>
      </w:r>
      <w:r>
        <w:rPr>
          <w:rFonts w:ascii="Times New Roman" w:cs="Times New Roman" w:eastAsia="Times New Roman" w:hAnsi="Times New Roman"/>
          <w:sz w:val="18"/>
          <w:szCs w:val="18"/>
          <w:color w:val="auto"/>
        </w:rPr>
        <w:t>, the Parties agree to enter into this Contract as follows:</w:t>
      </w:r>
    </w:p>
    <w:p>
      <w:pPr>
        <w:spacing w:after="0" w:line="225" w:lineRule="exact"/>
        <w:rPr>
          <w:sz w:val="20"/>
          <w:szCs w:val="20"/>
          <w:color w:val="auto"/>
        </w:rPr>
      </w:pPr>
    </w:p>
    <w:p>
      <w:pPr>
        <w:ind w:left="640" w:hanging="632"/>
        <w:spacing w:after="0"/>
        <w:tabs>
          <w:tab w:leader="none" w:pos="6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Unless this Contract stipulates otherwise, the terms below shall have the following meanings:</w:t>
      </w:r>
    </w:p>
    <w:p>
      <w:pPr>
        <w:spacing w:after="0" w:line="221" w:lineRule="exact"/>
        <w:rPr>
          <w:sz w:val="20"/>
          <w:szCs w:val="20"/>
          <w:color w:val="auto"/>
        </w:rPr>
      </w:pPr>
    </w:p>
    <w:p>
      <w:pPr>
        <w:ind w:left="76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means the security interest created by the Pledgors in favor of the Pledgee according to Clause 2 hereof, that is the right of the Pledgee to be first paid from the proceeds of transfer, auction or sale of the equity of the Pledgors.</w:t>
      </w:r>
    </w:p>
    <w:p>
      <w:pPr>
        <w:spacing w:after="0" w:line="4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color w:val="auto"/>
        </w:rPr>
        <w:t>means the 100% equity currently held by the Pledgors legally in Party C, i.e., the equity of the Pledgors set forth in the table below:</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0" w:type="dxa"/>
            <w:vAlign w:val="bottom"/>
            <w:tcBorders>
              <w:top w:val="single" w:sz="8" w:color="auto"/>
              <w:lef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92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22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40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c>
          <w:tcPr>
            <w:tcW w:w="224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Shareholding</w:t>
            </w:r>
          </w:p>
        </w:tc>
        <w:tc>
          <w:tcPr>
            <w:tcW w:w="0" w:type="dxa"/>
            <w:vAlign w:val="bottom"/>
          </w:tcPr>
          <w:p>
            <w:pPr>
              <w:spacing w:after="0"/>
              <w:rPr>
                <w:sz w:val="1"/>
                <w:szCs w:val="1"/>
                <w:color w:val="auto"/>
              </w:rPr>
            </w:pPr>
          </w:p>
        </w:tc>
      </w:tr>
      <w:tr>
        <w:trPr>
          <w:trHeight w:val="130"/>
        </w:trPr>
        <w:tc>
          <w:tcPr>
            <w:tcW w:w="560" w:type="dxa"/>
            <w:vAlign w:val="bottom"/>
            <w:tcBorders>
              <w:left w:val="single" w:sz="8" w:color="auto"/>
            </w:tcBorders>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92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 ten</w:t>
            </w:r>
          </w:p>
        </w:tc>
        <w:tc>
          <w:tcPr>
            <w:tcW w:w="2240" w:type="dxa"/>
            <w:vAlign w:val="bottom"/>
            <w:tcBorders>
              <w:right w:val="single" w:sz="8" w:color="auto"/>
            </w:tcBorders>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86"/>
        </w:trPr>
        <w:tc>
          <w:tcPr>
            <w:tcW w:w="56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592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thousand)</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6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9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Tianhua Wu</w:t>
            </w:r>
          </w:p>
        </w:tc>
        <w:tc>
          <w:tcPr>
            <w:tcW w:w="2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214.355244</w:t>
            </w:r>
          </w:p>
        </w:tc>
        <w:tc>
          <w:tcPr>
            <w:tcW w:w="2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Ming Dong</w:t>
            </w:r>
          </w:p>
        </w:tc>
        <w:tc>
          <w:tcPr>
            <w:tcW w:w="2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4.587907</w:t>
            </w:r>
          </w:p>
        </w:tc>
        <w:tc>
          <w:tcPr>
            <w:tcW w:w="2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218.943151</w:t>
            </w:r>
          </w:p>
        </w:tc>
        <w:tc>
          <w:tcPr>
            <w:tcW w:w="2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1.3</w:t>
            </w:r>
          </w:p>
        </w:tc>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Period</w:t>
            </w:r>
            <w:r>
              <w:rPr>
                <w:rFonts w:ascii="Times New Roman" w:cs="Times New Roman" w:eastAsia="Times New Roman" w:hAnsi="Times New Roman"/>
                <w:sz w:val="18"/>
                <w:szCs w:val="18"/>
                <w:color w:val="auto"/>
              </w:rPr>
              <w:t>” means the period specified in Clause 3 hereof.</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60" w:hanging="748"/>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Exclusive Business Cooperation Agreement executed on June 7, 2018, the Exclusive Option Contract and the Power of Attorney executed by the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ind w:left="760"/>
        <w:spacing w:after="0" w:line="282" w:lineRule="auto"/>
        <w:rPr>
          <w:sz w:val="20"/>
          <w:szCs w:val="20"/>
          <w:color w:val="auto"/>
        </w:rPr>
      </w:pPr>
      <w:r>
        <w:rPr>
          <w:rFonts w:ascii="Times New Roman" w:cs="Times New Roman" w:eastAsia="Times New Roman" w:hAnsi="Times New Roman"/>
          <w:sz w:val="18"/>
          <w:szCs w:val="18"/>
          <w:color w:val="auto"/>
        </w:rPr>
        <w:t>Party C and/or the Pledgors, and the Commitment Letters issued by the Pledgors to the Pledgee as of execution of this Contract, and this Contract.</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Breach Event</w:t>
      </w:r>
      <w:r>
        <w:rPr>
          <w:rFonts w:ascii="Times New Roman" w:cs="Times New Roman" w:eastAsia="Times New Roman" w:hAnsi="Times New Roman"/>
          <w:sz w:val="17"/>
          <w:szCs w:val="17"/>
          <w:color w:val="auto"/>
        </w:rPr>
        <w:t>” means any of the circumstances set out in Clause 7 hereof.</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Breach Notice</w:t>
      </w:r>
      <w:r>
        <w:rPr>
          <w:rFonts w:ascii="Times New Roman" w:cs="Times New Roman" w:eastAsia="Times New Roman" w:hAnsi="Times New Roman"/>
          <w:sz w:val="17"/>
          <w:szCs w:val="17"/>
          <w:color w:val="auto"/>
        </w:rPr>
        <w:t>” means the notice of Breach Events issued by the Pledgee according to this Contract.</w:t>
      </w:r>
    </w:p>
    <w:p>
      <w:pPr>
        <w:spacing w:after="0" w:line="225" w:lineRule="exact"/>
        <w:rPr>
          <w:sz w:val="20"/>
          <w:szCs w:val="20"/>
          <w:color w:val="auto"/>
        </w:rPr>
      </w:pPr>
    </w:p>
    <w:p>
      <w:pPr>
        <w:ind w:left="720" w:hanging="712"/>
        <w:spacing w:after="0"/>
        <w:tabs>
          <w:tab w:leader="none" w:pos="7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Pledge</w:t>
      </w:r>
    </w:p>
    <w:p>
      <w:pPr>
        <w:spacing w:after="0" w:line="229" w:lineRule="exact"/>
        <w:rPr>
          <w:sz w:val="20"/>
          <w:szCs w:val="20"/>
          <w:color w:val="auto"/>
        </w:rPr>
      </w:pPr>
    </w:p>
    <w:p>
      <w:pPr>
        <w:jc w:val="both"/>
        <w:ind w:left="700" w:hanging="748"/>
        <w:spacing w:after="0" w:line="261" w:lineRule="auto"/>
        <w:tabs>
          <w:tab w:leader="none" w:pos="6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As a security for prompt and full performance of all obligations (including but not limited to the consulting fee and/or service fee payable to the Pledgee according to the Exclusive Business Cooperation Agreement) of Party C and the Pledgors under the Transaction Documents when they become due (whether on the specified due date, through early repayment, or otherwise), the Pledgors hereby create a pledge over their entire equity in Party C in favor of the Pledgee.</w:t>
      </w:r>
    </w:p>
    <w:p>
      <w:pPr>
        <w:spacing w:after="0" w:line="180" w:lineRule="exact"/>
        <w:rPr>
          <w:sz w:val="20"/>
          <w:szCs w:val="20"/>
          <w:color w:val="auto"/>
        </w:rPr>
      </w:pPr>
    </w:p>
    <w:p>
      <w:pPr>
        <w:jc w:val="both"/>
        <w:ind w:left="700" w:hanging="748"/>
        <w:spacing w:after="0" w:line="266" w:lineRule="auto"/>
        <w:tabs>
          <w:tab w:leader="none" w:pos="6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Pledge will cover all service fees receivable by the Pledgee under the Transaction Documents and their interest, liquidated damages (if any), damages, and various costs and expenses for realizing the pledge (including but not limited to attorney’s fee, arbitration cost, and the costs for assessment and auction of the pledged equity).</w:t>
      </w:r>
    </w:p>
    <w:p>
      <w:pPr>
        <w:spacing w:after="0" w:line="176" w:lineRule="exact"/>
        <w:rPr>
          <w:sz w:val="20"/>
          <w:szCs w:val="20"/>
          <w:color w:val="auto"/>
        </w:rPr>
      </w:pPr>
    </w:p>
    <w:p>
      <w:pPr>
        <w:jc w:val="both"/>
        <w:ind w:left="700" w:hanging="748"/>
        <w:spacing w:after="0" w:line="256" w:lineRule="auto"/>
        <w:tabs>
          <w:tab w:leader="none" w:pos="6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During the Pledge Period, any distribution of dividend or bonus shall be subject to prior written consent of the Pledgee. Where any distribution of dividend or bonus is made upon consent of the Pledgee, the Pledgee has the right to receive the dividend or bonus generated from the Equity. At the request of the Pledgee, the dividend or bonus received by the Pledgee in connection of the Equity, after deducting the individual income tax payable by the Pledgors, shall be (1) deposited to the account designated by the Pledgee, supervised by the Pledgee, and used for securing performance of the contractual obligations and first payment of the secured debts; or (2) given unconditionally to the Pledgee or any person designated by the Pledgee free of consideration, subject to the laws of China.</w:t>
      </w:r>
    </w:p>
    <w:p>
      <w:pPr>
        <w:spacing w:after="0" w:line="187" w:lineRule="exact"/>
        <w:rPr>
          <w:sz w:val="20"/>
          <w:szCs w:val="20"/>
          <w:color w:val="auto"/>
        </w:rPr>
      </w:pPr>
    </w:p>
    <w:p>
      <w:pPr>
        <w:jc w:val="both"/>
        <w:ind w:left="700" w:hanging="74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Pledgors shall not increase the share capital of Party C without prior written consent of the Pledgee. Any additional amount in the registered capital of Party C from increased contribution of the Pledgors shall be subject to the equity pledge hereunder.</w:t>
      </w:r>
    </w:p>
    <w:p>
      <w:pPr>
        <w:spacing w:after="0" w:line="16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If Party C is required to be dissolved or liquidated according to any mandatory provisions of China laws, the benefit received by the Pledgors from distribution made by Party C according to laws upon completion of the dissolution or liquidation procedure of Party C shall be, at the request of the Pledgee, (1) deposited to the account designated by the Pledgee, supervised by the Pledgee, and used for securing performance of the contractual obligations and first payment of the secured debts; or (2) given unconditionally to the Pledgee or any person designated by the Pledgee free of consideration, subject to the laws of China.</w:t>
      </w:r>
    </w:p>
    <w:p>
      <w:pPr>
        <w:spacing w:after="0" w:line="179" w:lineRule="exact"/>
        <w:rPr>
          <w:sz w:val="20"/>
          <w:szCs w:val="20"/>
          <w:color w:val="auto"/>
        </w:rPr>
      </w:pPr>
    </w:p>
    <w:p>
      <w:pPr>
        <w:ind w:left="680" w:hanging="672"/>
        <w:spacing w:after="0"/>
        <w:tabs>
          <w:tab w:leader="none" w:pos="6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Pledge Period</w:t>
      </w:r>
    </w:p>
    <w:p>
      <w:pPr>
        <w:spacing w:after="0" w:line="229" w:lineRule="exact"/>
        <w:rPr>
          <w:sz w:val="20"/>
          <w:szCs w:val="20"/>
          <w:color w:val="auto"/>
        </w:rPr>
      </w:pPr>
    </w:p>
    <w:p>
      <w:pPr>
        <w:jc w:val="both"/>
        <w:ind w:left="680" w:hanging="748"/>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Pledge Period commences on the execution of this Contract and ends when all obligations of Party C and the Pledgors under the Transaction Documents are fully performed. During the Pledge Period, if Party C and the Pledgors fail to perform or to fully perform their obligations under the Transaction Documents, the Pledgee shall have the right (but not obligation) to dispose of the Equity according to the provisions hereof.</w:t>
      </w:r>
    </w:p>
    <w:p>
      <w:pPr>
        <w:spacing w:after="0" w:line="172" w:lineRule="exact"/>
        <w:rPr>
          <w:sz w:val="20"/>
          <w:szCs w:val="20"/>
          <w:color w:val="auto"/>
        </w:rPr>
      </w:pPr>
    </w:p>
    <w:p>
      <w:pPr>
        <w:jc w:val="both"/>
        <w:ind w:left="600" w:hanging="748"/>
        <w:spacing w:after="0" w:line="286" w:lineRule="auto"/>
        <w:tabs>
          <w:tab w:leader="none" w:pos="5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Pledge shall be created when it is registered with the administration for industry and commerce at the place of Party C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80" w:hanging="672"/>
        <w:spacing w:after="0"/>
        <w:tabs>
          <w:tab w:leader="none" w:pos="6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Keeping of Equity Records</w:t>
      </w:r>
    </w:p>
    <w:p>
      <w:pPr>
        <w:spacing w:after="0" w:line="229" w:lineRule="exact"/>
        <w:rPr>
          <w:sz w:val="20"/>
          <w:szCs w:val="20"/>
          <w:color w:val="auto"/>
        </w:rPr>
      </w:pPr>
    </w:p>
    <w:p>
      <w:pPr>
        <w:jc w:val="both"/>
        <w:ind w:left="680" w:hanging="748"/>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Pledgors shall record the equity pledge specified herein in the register of shareholders of Party C as of execution of this Contract, and deliver the original contribution certificates and the original register of shareholders recording the equity pledge to the Pledgee for keeping. The Pledgee shall keep such documents during the whole Pledge Period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7" w:name="page228"/>
    <w:bookmarkEnd w:id="227"/>
    <w:p>
      <w:pPr>
        <w:spacing w:after="0" w:line="194" w:lineRule="exact"/>
        <w:rPr>
          <w:sz w:val="20"/>
          <w:szCs w:val="20"/>
          <w:color w:val="auto"/>
        </w:rPr>
      </w:pPr>
    </w:p>
    <w:p>
      <w:pPr>
        <w:ind w:left="66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During the Pledge Period, the Pledgee shall have the right to receive all revenues, if any, of the pledged equity, including but not limited to bonus, dividend and other revenues generated from the pledged equity.</w:t>
      </w:r>
    </w:p>
    <w:p>
      <w:pPr>
        <w:spacing w:after="0" w:line="158" w:lineRule="exact"/>
        <w:rPr>
          <w:sz w:val="20"/>
          <w:szCs w:val="20"/>
          <w:color w:val="auto"/>
        </w:rPr>
      </w:pPr>
    </w:p>
    <w:p>
      <w:pPr>
        <w:ind w:left="640" w:hanging="632"/>
        <w:spacing w:after="0"/>
        <w:tabs>
          <w:tab w:leader="none" w:pos="6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Pledgors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Each Pledgor severally (but not jointly) represents and warrants to the Pledgee as follows:</w:t>
      </w:r>
    </w:p>
    <w:p>
      <w:pPr>
        <w:spacing w:after="0" w:line="229" w:lineRule="exact"/>
        <w:rPr>
          <w:sz w:val="20"/>
          <w:szCs w:val="20"/>
          <w:color w:val="auto"/>
        </w:rPr>
      </w:pPr>
    </w:p>
    <w:p>
      <w:pPr>
        <w:jc w:val="both"/>
        <w:ind w:left="720" w:hanging="748"/>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those circumstances disclosed to the Pledgee, it/he is the sole legal and beneficial owner of the Equity and has legal, full and complete ownership to the Equity, subject to any agreement entered into between it/he and the Pledgee.</w:t>
      </w:r>
    </w:p>
    <w:p>
      <w:pPr>
        <w:spacing w:after="0" w:line="162" w:lineRule="exact"/>
        <w:rPr>
          <w:sz w:val="20"/>
          <w:szCs w:val="20"/>
          <w:color w:val="auto"/>
        </w:rPr>
      </w:pPr>
    </w:p>
    <w:p>
      <w:pPr>
        <w:jc w:val="both"/>
        <w:ind w:left="700" w:hanging="74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It/he has the power to enter into this Contract and to perform obligations hereunder; the terms of this Contract has legal binding force upon it/him as from the effective date of this Contract.</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It/he shall have the right to dispose of and transfer its Equity according to the terms hereof.</w:t>
      </w:r>
    </w:p>
    <w:p>
      <w:pPr>
        <w:spacing w:after="0" w:line="225" w:lineRule="exact"/>
        <w:rPr>
          <w:sz w:val="20"/>
          <w:szCs w:val="20"/>
          <w:color w:val="auto"/>
        </w:rPr>
      </w:pPr>
    </w:p>
    <w:p>
      <w:pPr>
        <w:jc w:val="both"/>
        <w:ind w:left="740" w:hanging="74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Except for the Pledge hereof, it/he has not created any security interest or other encumbrances over its/his Equity, the ownership to the Equity is free of any actual or threatened dispute, lien or other procedural restrictions, and may be pledged and transferred according to the applicable laws.</w:t>
      </w:r>
    </w:p>
    <w:p>
      <w:pPr>
        <w:spacing w:after="0" w:line="176"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execution hereof, exercise any right hereunder and performance of any obligation hereunder by the Pledgor will not violate any laws, regulations, or any agreement or contract to which the Pledgor is a party, or any commitment made by the Pledgor to any third party.</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All documents, information, statements and certificates (if applicable) provided by the Pledgor to the Pledgee are accurate, true, complete and valid.</w:t>
      </w:r>
    </w:p>
    <w:p>
      <w:pPr>
        <w:spacing w:after="0" w:line="162" w:lineRule="exact"/>
        <w:rPr>
          <w:sz w:val="20"/>
          <w:szCs w:val="20"/>
          <w:color w:val="auto"/>
        </w:rPr>
      </w:pPr>
    </w:p>
    <w:p>
      <w:pPr>
        <w:jc w:val="both"/>
        <w:ind w:left="660" w:hanging="748"/>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The Pledgor warrants to the Pledgee that it has made all proper arrangements and executed all necessary documents to ensure that performance of this Contract will not be affected or prevented by its/his heir, guardian, successor in title, creditor, spouse or other person that may acquire its/his Equity or relevant right when it/he dies, is dissolved, becomes incapacitated, goes into bankruptcy, is divorced, or has other circumstance that may affect exercise of Equity.</w:t>
      </w:r>
    </w:p>
    <w:p>
      <w:pPr>
        <w:spacing w:after="0" w:line="180" w:lineRule="exact"/>
        <w:rPr>
          <w:sz w:val="20"/>
          <w:szCs w:val="20"/>
          <w:color w:val="auto"/>
        </w:rPr>
      </w:pPr>
    </w:p>
    <w:p>
      <w:pPr>
        <w:jc w:val="both"/>
        <w:ind w:left="66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Each Pledgor severally but not jointly warrants to the Pledgee that the above representations and warranties shall be true and correct and will be complied with before the contractual obligations are fully performed or the secured debts are completed satisfied.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Party C represents and warrants to the Pledgee as follows:</w:t>
      </w:r>
    </w:p>
    <w:p>
      <w:pPr>
        <w:spacing w:after="0" w:line="229" w:lineRule="exact"/>
        <w:rPr>
          <w:sz w:val="20"/>
          <w:szCs w:val="20"/>
          <w:color w:val="auto"/>
        </w:rPr>
      </w:pPr>
    </w:p>
    <w:p>
      <w:pPr>
        <w:jc w:val="both"/>
        <w:ind w:left="600" w:right="20" w:hanging="748"/>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Party C is a limited liability company duly incorporated and validly existing according to the laws of China, who has separate legal personality and full and independent legal status and capacity to execute, deliver and perform this Contract.</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5.10</w:t>
        <w:tab/>
        <w:t>This Contract has been duly signed by Party C, and constitutes legal, valid and binding obligations of Party C.</w:t>
      </w:r>
    </w:p>
    <w:p>
      <w:pPr>
        <w:spacing w:after="0" w:line="225" w:lineRule="exact"/>
        <w:rPr>
          <w:sz w:val="20"/>
          <w:szCs w:val="20"/>
          <w:color w:val="auto"/>
        </w:rPr>
      </w:pPr>
    </w:p>
    <w:p>
      <w:pPr>
        <w:jc w:val="both"/>
        <w:ind w:left="66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color w:val="auto"/>
        </w:rPr>
        <w:t>Party C has full internal power and authority to execute and deliver this Contract and all other documents relating to the transaction contemplated herein, and has full power and authority to consummate the transaction contemplated herein.</w:t>
      </w:r>
    </w:p>
    <w:p>
      <w:pPr>
        <w:spacing w:after="0" w:line="162" w:lineRule="exact"/>
        <w:rPr>
          <w:sz w:val="20"/>
          <w:szCs w:val="20"/>
          <w:color w:val="auto"/>
        </w:rPr>
      </w:pPr>
    </w:p>
    <w:p>
      <w:pPr>
        <w:jc w:val="both"/>
        <w:ind w:left="660" w:hanging="7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There is no security interest or other encumbrances over Party C’s assets which may affect the Pledgee’s rights or interests in the Equity, including but not limited to transfer of Party C’s intellectual property or transfer of any Party C’s asset with a value of RMB 500000 or more outside the normal course of business, or any encumbrances over the property or use right to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jc w:val="both"/>
        <w:ind w:left="660" w:hanging="748"/>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There is no pending or, to the knowledge of Party C, threatened litigation, arbitration or other legal proceedings of any court or arbitral tribunal, or any administrative procedure or penalty of any government authority or administrative agency over the Equity, Party C or its assets, which may have material or adverse effect on Party C’s economic conditions or any Pledgor’s ability to perform any obligation hereunder or any liability of security.</w:t>
      </w:r>
    </w:p>
    <w:p>
      <w:pPr>
        <w:spacing w:after="0" w:line="180" w:lineRule="exact"/>
        <w:rPr>
          <w:sz w:val="20"/>
          <w:szCs w:val="20"/>
          <w:color w:val="auto"/>
        </w:rPr>
      </w:pPr>
    </w:p>
    <w:p>
      <w:pPr>
        <w:jc w:val="both"/>
        <w:ind w:left="720" w:hanging="748"/>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Party C hereby warrants to the Pledgee that the above representations and warranties shall be true and correct and shall be fully complied with before the obligations hereunder are fully performed or the secured debts hereunder are fully satisfied.</w:t>
      </w:r>
    </w:p>
    <w:p>
      <w:pPr>
        <w:spacing w:after="0" w:line="158" w:lineRule="exact"/>
        <w:rPr>
          <w:sz w:val="20"/>
          <w:szCs w:val="20"/>
          <w:color w:val="auto"/>
        </w:rPr>
      </w:pPr>
    </w:p>
    <w:p>
      <w:pPr>
        <w:ind w:left="640" w:hanging="632"/>
        <w:spacing w:after="0"/>
        <w:tabs>
          <w:tab w:leader="none" w:pos="6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Covenants and Consents of the Pledgors and Party C</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The Pledgors further consent and covenant as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hereof, each Pledgor hereby severally but not jointly covenants to the Pledgee that the Pledgor</w:t>
      </w:r>
    </w:p>
    <w:p>
      <w:pPr>
        <w:spacing w:after="0" w:line="225" w:lineRule="exact"/>
        <w:rPr>
          <w:sz w:val="20"/>
          <w:szCs w:val="20"/>
          <w:color w:val="auto"/>
        </w:rPr>
      </w:pPr>
    </w:p>
    <w:p>
      <w:pPr>
        <w:jc w:val="both"/>
        <w:ind w:left="1480" w:hanging="69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shall not transfer the Equity or create or permit existence of any security interest or other encumbrance that may affect any right or interest of the Pledgee in the Equity without prior written consent of the Pledgee, except for performance of the Exclusive Option Contract entered into by the Pledgor, the Pledgee and Party C as of execution of this Contract;</w:t>
      </w:r>
    </w:p>
    <w:p>
      <w:pPr>
        <w:spacing w:after="0" w:line="176" w:lineRule="exact"/>
        <w:rPr>
          <w:sz w:val="20"/>
          <w:szCs w:val="20"/>
          <w:color w:val="auto"/>
        </w:rPr>
      </w:pPr>
    </w:p>
    <w:p>
      <w:pPr>
        <w:jc w:val="both"/>
        <w:ind w:left="1460" w:hanging="694"/>
        <w:spacing w:after="0" w:line="266" w:lineRule="auto"/>
        <w:tabs>
          <w:tab w:leader="none" w:pos="14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shall immediately notify the Pledgee of (1) any event that may affect the right of the Pledgee to the Equity or any part of the Equity, or any notice thereof, and (2) any event that may affect any guarantee or other obligation of the Pledgor resulting from this Contract, or any notice thereof.</w:t>
      </w:r>
    </w:p>
    <w:p>
      <w:pPr>
        <w:spacing w:after="0" w:line="176" w:lineRule="exact"/>
        <w:rPr>
          <w:sz w:val="20"/>
          <w:szCs w:val="20"/>
          <w:color w:val="auto"/>
        </w:rPr>
      </w:pPr>
    </w:p>
    <w:p>
      <w:pPr>
        <w:jc w:val="both"/>
        <w:ind w:left="600" w:hanging="748"/>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Each Pledgor severally agrees that any right of the Pledgee to the Pledge herein shall not be interrupted or hindered by the Pledgor or its/his heir, successor or representative or any other person through any legal procedure.</w:t>
      </w:r>
    </w:p>
    <w:p>
      <w:pPr>
        <w:spacing w:after="0" w:line="162" w:lineRule="exact"/>
        <w:rPr>
          <w:sz w:val="20"/>
          <w:szCs w:val="20"/>
          <w:color w:val="auto"/>
        </w:rPr>
      </w:pPr>
    </w:p>
    <w:p>
      <w:pPr>
        <w:jc w:val="both"/>
        <w:ind w:left="600" w:hanging="748"/>
        <w:spacing w:after="0" w:line="256" w:lineRule="auto"/>
        <w:tabs>
          <w:tab w:leader="none" w:pos="5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To protect and perfect any security interest granted hereunder, each Pledgor hereby undertakes to execute in good faith, and to procure other parties having interest in the Pledge to execute, all certificates, agreements, deeds and/or undertakings required by the Pledgee. The Pledgor further undertakes to take, and to procure any other parties having interest in the Pledge to take, any acts required by the Pledgee, to promote the Pledgee to exercise any right and authority granted hereunder, and enter into all relevant documents relating to ownership to the Equity with the Pledgee or any person designated by the Pledgee (whether natural person or legal person). The Pledgor undertakes to provide the Pledgee with all notices, orders and decisions required by the Pledgee within a reasonable period.</w:t>
      </w:r>
    </w:p>
    <w:p>
      <w:pPr>
        <w:spacing w:after="0" w:line="187" w:lineRule="exact"/>
        <w:rPr>
          <w:sz w:val="20"/>
          <w:szCs w:val="20"/>
          <w:color w:val="auto"/>
        </w:rPr>
      </w:pPr>
    </w:p>
    <w:p>
      <w:pPr>
        <w:jc w:val="both"/>
        <w:ind w:left="580" w:hanging="748"/>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Each Pledgor hereby covenants to the Pledgee that it/he will comply with and perform all warranties, covenants, agreements, representations and conditions hereunder. If the Pledgor fails to perform such warranties, covenants, agreements, representations and conditions in whole or in part, it/he shall compensate the Pledgee for all losses caused thereby.</w:t>
      </w:r>
    </w:p>
    <w:p>
      <w:pPr>
        <w:spacing w:after="0" w:line="176" w:lineRule="exact"/>
        <w:rPr>
          <w:sz w:val="20"/>
          <w:szCs w:val="20"/>
          <w:color w:val="auto"/>
        </w:rPr>
      </w:pPr>
    </w:p>
    <w:p>
      <w:pPr>
        <w:jc w:val="both"/>
        <w:ind w:left="540" w:hanging="748"/>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If the pledged equity hereunder is subject to any coercive measures by any court or other government department for any reason, the Pledgor shall use all efforts, including but not limited to providing other security or taking other measures to the court, to lift such coercive measures taken by the court or other department over the above equity.</w:t>
      </w:r>
    </w:p>
    <w:p>
      <w:pPr>
        <w:spacing w:after="0" w:line="176" w:lineRule="exact"/>
        <w:rPr>
          <w:sz w:val="20"/>
          <w:szCs w:val="20"/>
          <w:color w:val="auto"/>
        </w:rPr>
      </w:pPr>
    </w:p>
    <w:p>
      <w:pPr>
        <w:jc w:val="both"/>
        <w:ind w:left="540" w:hanging="748"/>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In the event that the value of any Equity held by any Pledgor may decrease and will thus endanger the Pledgee’s right, the pledgee may request the Pledgor to provide additional mortgage or other security. If the Pledgor fails to provide, the Pledgee may auction or sell the Equity at any time, and use the proceeds from such auction or sale to early repay the secured debts or place the proceeds in escrow.</w:t>
      </w:r>
    </w:p>
    <w:p>
      <w:pPr>
        <w:spacing w:after="0" w:line="176" w:lineRule="exact"/>
        <w:rPr>
          <w:sz w:val="20"/>
          <w:szCs w:val="20"/>
          <w:color w:val="auto"/>
        </w:rPr>
      </w:pPr>
    </w:p>
    <w:p>
      <w:pPr>
        <w:jc w:val="both"/>
        <w:ind w:left="680" w:hanging="748"/>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Pledgors and/or Party C shall not increase, reduce or transfer, or assist others to increase, reduce or transfer, Party C’s registered capital (or their contributions to Party C), or create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9" w:name="page230"/>
    <w:bookmarkEnd w:id="229"/>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encumbrances thereon, without prior written consent of the Pledgee. Subject to the previous sentence, any Party C’s Equity registered and obtained after the date hereof shall be referred to as “Additional Equity”. The Pledgor and Party C shall enter into a supplemental equity pledge agreement with the Pledgee immediately after the Pledgor acquires the Additional Equity, shall procure the board of directors and the shareholders’ meeting of Party C to approve the supplemental equity pledge agreement, and shall provide the Pledgee with all documents required by the supplemental equity pledge agreement, including but not limited to : (a) the original shareholder’s contribution certificate concerning the Additional Equity issued by Party C; and (b) the copy of the capital verification report concerning the Additional Equity issued by a Chinese certified public accountant. The Pledgor and Party C shall complete the registration on creation of pledge over the Additional Equity according to Clause 3.1 hereof.</w:t>
      </w:r>
    </w:p>
    <w:p>
      <w:pPr>
        <w:spacing w:after="0" w:line="192" w:lineRule="exact"/>
        <w:rPr>
          <w:sz w:val="20"/>
          <w:szCs w:val="20"/>
          <w:color w:val="auto"/>
        </w:rPr>
      </w:pPr>
    </w:p>
    <w:p>
      <w:pPr>
        <w:jc w:val="both"/>
        <w:ind w:left="700" w:hanging="748"/>
        <w:spacing w:after="0" w:line="261" w:lineRule="auto"/>
        <w:tabs>
          <w:tab w:leader="none" w:pos="68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Unless the Pledgee gives contrary instructions in advance, each Pledgor and/or Party C agree that if the Pledgor transfers any Equity to any third party (“</w:t>
      </w:r>
      <w:r>
        <w:rPr>
          <w:rFonts w:ascii="Times New Roman" w:cs="Times New Roman" w:eastAsia="Times New Roman" w:hAnsi="Times New Roman"/>
          <w:sz w:val="18"/>
          <w:szCs w:val="18"/>
          <w:b w:val="1"/>
          <w:bCs w:val="1"/>
          <w:color w:val="auto"/>
        </w:rPr>
        <w:t>Equity Transferee</w:t>
      </w:r>
      <w:r>
        <w:rPr>
          <w:rFonts w:ascii="Times New Roman" w:cs="Times New Roman" w:eastAsia="Times New Roman" w:hAnsi="Times New Roman"/>
          <w:sz w:val="18"/>
          <w:szCs w:val="18"/>
          <w:color w:val="auto"/>
        </w:rPr>
        <w:t>”) in whole or in part in violation of this Contract (including separation and succession), the Pledgor and/or Party C shall procure the Equity Transferee to recognize the Pledge unconditionally, and shall complete necessary formalities on change of registration (including but not limited to execution of relevant documents) to ensure the Pledge continues to exist.</w:t>
      </w:r>
    </w:p>
    <w:p>
      <w:pPr>
        <w:spacing w:after="0" w:line="180" w:lineRule="exact"/>
        <w:rPr>
          <w:sz w:val="20"/>
          <w:szCs w:val="20"/>
          <w:color w:val="auto"/>
        </w:rPr>
      </w:pPr>
    </w:p>
    <w:p>
      <w:pPr>
        <w:jc w:val="both"/>
        <w:ind w:left="720" w:hanging="748"/>
        <w:spacing w:after="0" w:line="266" w:lineRule="auto"/>
        <w:tabs>
          <w:tab w:leader="none" w:pos="7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If the Pledgee provides any loan to Party C, the Pledgors and/or Party C agree to create a pledge over the Equity in favor of the Pledgee to secure repayment of the loan, and to complete relevant formalities promptly according to laws, regulations or local practices (if any), including but not limited to execution of relevant documents and completion of registration on creation or change of pledge.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Party C further warrants and consents as follows:</w:t>
      </w:r>
    </w:p>
    <w:p>
      <w:pPr>
        <w:spacing w:after="0" w:line="229" w:lineRule="exact"/>
        <w:rPr>
          <w:sz w:val="20"/>
          <w:szCs w:val="20"/>
          <w:color w:val="auto"/>
        </w:rPr>
      </w:pPr>
    </w:p>
    <w:p>
      <w:pPr>
        <w:jc w:val="both"/>
        <w:ind w:left="580" w:hanging="748"/>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6.10</w:t>
        <w:tab/>
        <w:t>If the execution and performance hereof and the equity pledge hereunder require any third party’s consent, permission, waiver or authorization, or any approval, permission, exemption of or any registration or filing with any government authority (if required by law), Party C shall use it best efforts to assist to obtain the same and maintain the same fully effective during the term of this Contract.</w:t>
      </w:r>
    </w:p>
    <w:p>
      <w:pPr>
        <w:spacing w:after="0" w:line="176" w:lineRule="exact"/>
        <w:rPr>
          <w:sz w:val="20"/>
          <w:szCs w:val="20"/>
          <w:color w:val="auto"/>
        </w:rPr>
      </w:pPr>
    </w:p>
    <w:p>
      <w:pPr>
        <w:jc w:val="both"/>
        <w:ind w:left="700" w:hanging="74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Party C shall not assist or permit the Pledgors to create any new pledge or other security interest over the Equity, nor assist or permit the Pledgors to transfer the Equity without prior written consent of the Pledgee.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Party C agrees to strict comply with, together with the Pledgors, the obligations under Clauses 6.7, 6.7 and 6.9 hereof.</w:t>
      </w:r>
    </w:p>
    <w:p>
      <w:pPr>
        <w:spacing w:after="0" w:line="225" w:lineRule="exact"/>
        <w:rPr>
          <w:sz w:val="20"/>
          <w:szCs w:val="20"/>
          <w:color w:val="auto"/>
        </w:rPr>
      </w:pPr>
    </w:p>
    <w:p>
      <w:pPr>
        <w:jc w:val="both"/>
        <w:ind w:left="680" w:hanging="748"/>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Party C shall not transfer its assets or create or permit existence of any security interest or other encumbrances over its assets which may affect the Pledgee’s rights or interests in the Equity (including but not limited to transfer of Party C’s intellectual property or transfer of any Party C’s asset with a value of RMB 500000 or more outside the normal course of business, or any encumbrances over the property or use right to such assets), without prior written consent of the Pledgee.</w:t>
      </w:r>
    </w:p>
    <w:p>
      <w:pPr>
        <w:spacing w:after="0" w:line="180" w:lineRule="exact"/>
        <w:rPr>
          <w:sz w:val="20"/>
          <w:szCs w:val="20"/>
          <w:color w:val="auto"/>
        </w:rPr>
      </w:pPr>
    </w:p>
    <w:p>
      <w:pPr>
        <w:jc w:val="both"/>
        <w:ind w:left="740" w:hanging="74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8"/>
          <w:szCs w:val="18"/>
          <w:color w:val="auto"/>
        </w:rPr>
        <w:t>When any lawsuit, arbitration or other claim occurs, which may have adverse effect on Party C, the Equity or the Pledgee’s interest under the Control Agreements, Party C undertakes to give prompt written notice to the Pledgee as soon as possible, and to take all necessary measures at the reasonable request of the Pledgee to ensure the Pledgee’s pledge interest over the Equity.</w:t>
      </w:r>
    </w:p>
    <w:p>
      <w:pPr>
        <w:spacing w:after="0" w:line="176" w:lineRule="exact"/>
        <w:rPr>
          <w:sz w:val="20"/>
          <w:szCs w:val="20"/>
          <w:color w:val="auto"/>
        </w:rPr>
      </w:pPr>
    </w:p>
    <w:p>
      <w:pPr>
        <w:jc w:val="both"/>
        <w:ind w:left="660" w:right="2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8"/>
          <w:szCs w:val="18"/>
          <w:color w:val="auto"/>
        </w:rPr>
        <w:t>Party C shall not take or permit any acts or conducts that may have adverse effect on the Pledgee’s interest or the Equity under the Control Agreements.</w:t>
      </w:r>
    </w:p>
    <w:p>
      <w:pPr>
        <w:spacing w:after="0" w:line="162" w:lineRule="exact"/>
        <w:rPr>
          <w:sz w:val="20"/>
          <w:szCs w:val="20"/>
          <w:color w:val="auto"/>
        </w:rPr>
      </w:pPr>
    </w:p>
    <w:p>
      <w:pPr>
        <w:jc w:val="both"/>
        <w:ind w:left="720" w:hanging="748"/>
        <w:spacing w:after="0" w:line="266" w:lineRule="auto"/>
        <w:tabs>
          <w:tab w:leader="none" w:pos="70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Party C shall provide the Pledgee with its financial statements for the previous calendar quarter in the first month of every calendar quarter, including but not limited to the balance sheet, the income statement and the cash flow statement, and shall provide the Pledgee with the audited financial statements of the previous year within five (5) working days after issuance of such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0" w:name="page231"/>
    <w:bookmarkEnd w:id="230"/>
    <w:p>
      <w:pPr>
        <w:spacing w:after="0" w:line="194" w:lineRule="exact"/>
        <w:rPr>
          <w:sz w:val="20"/>
          <w:szCs w:val="20"/>
          <w:color w:val="auto"/>
        </w:rPr>
      </w:pPr>
    </w:p>
    <w:p>
      <w:pPr>
        <w:ind w:left="700" w:right="20" w:hanging="74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8"/>
          <w:szCs w:val="18"/>
          <w:color w:val="auto"/>
        </w:rPr>
        <w:t>Party C undertakes to take, at the reasonable request of the Pledgee, all necessary measures and to execute all necessary documents, to ensure the pledge interest of the Pledgee over the Equity and the exercise and realization of such interest.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If the exercise of the Pledge hereunder causes any transfer of the Equity, Party C undertakes to take all measures to complete such transfer.</w:t>
      </w:r>
    </w:p>
    <w:p>
      <w:pPr>
        <w:spacing w:after="0" w:line="225" w:lineRule="exact"/>
        <w:rPr>
          <w:sz w:val="20"/>
          <w:szCs w:val="20"/>
          <w:color w:val="auto"/>
        </w:rPr>
      </w:pPr>
    </w:p>
    <w:p>
      <w:pPr>
        <w:ind w:left="740" w:hanging="74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8"/>
          <w:szCs w:val="18"/>
          <w:color w:val="auto"/>
        </w:rPr>
        <w:t>At the request of the Pledgee, Party C shall complete the registration of renewal of its business term three (3) months before expiration of its business term, to ensure the validity of this Contract continues.</w:t>
      </w:r>
    </w:p>
    <w:p>
      <w:pPr>
        <w:spacing w:after="0" w:line="158" w:lineRule="exact"/>
        <w:rPr>
          <w:sz w:val="20"/>
          <w:szCs w:val="20"/>
          <w:color w:val="auto"/>
        </w:rPr>
      </w:pPr>
    </w:p>
    <w:p>
      <w:pPr>
        <w:ind w:left="680" w:hanging="672"/>
        <w:spacing w:after="0"/>
        <w:tabs>
          <w:tab w:leader="none" w:pos="6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Breach Events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following circumstances shall be deemed breach events:</w:t>
      </w:r>
    </w:p>
    <w:p>
      <w:pPr>
        <w:spacing w:after="0" w:line="225" w:lineRule="exact"/>
        <w:rPr>
          <w:sz w:val="20"/>
          <w:szCs w:val="20"/>
          <w:color w:val="auto"/>
        </w:rPr>
      </w:pPr>
    </w:p>
    <w:p>
      <w:pPr>
        <w:ind w:left="820"/>
        <w:spacing w:after="0"/>
        <w:tabs>
          <w:tab w:leader="none" w:pos="138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Party C or any Pledgor breaches any obligation under the Transaction Documents;</w:t>
      </w:r>
    </w:p>
    <w:p>
      <w:pPr>
        <w:spacing w:after="0" w:line="225" w:lineRule="exact"/>
        <w:rPr>
          <w:sz w:val="20"/>
          <w:szCs w:val="20"/>
          <w:color w:val="auto"/>
        </w:rPr>
      </w:pPr>
    </w:p>
    <w:p>
      <w:pPr>
        <w:jc w:val="both"/>
        <w:ind w:left="1360" w:hanging="694"/>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7.1.2</w:t>
        <w:tab/>
        <w:t>Any representation or warranty made by any Pledgor in Clause 5 hereof contains material misrepresentation or omission, and/or the Pledgor breaches any warranties in Clause 5 hereof;</w:t>
      </w:r>
    </w:p>
    <w:p>
      <w:pPr>
        <w:spacing w:after="0" w:line="162" w:lineRule="exact"/>
        <w:rPr>
          <w:sz w:val="20"/>
          <w:szCs w:val="20"/>
          <w:color w:val="auto"/>
        </w:rPr>
      </w:pPr>
    </w:p>
    <w:p>
      <w:pPr>
        <w:jc w:val="both"/>
        <w:ind w:left="1420" w:hanging="69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7.1.3</w:t>
        <w:tab/>
        <w:t>The Pledgors and Party C fail to complete any registration of the Equity Pledge with the Registration Authority according to Clause 3.1 hereof.</w:t>
      </w:r>
    </w:p>
    <w:p>
      <w:pPr>
        <w:spacing w:after="0" w:line="162" w:lineRule="exact"/>
        <w:rPr>
          <w:sz w:val="20"/>
          <w:szCs w:val="20"/>
          <w:color w:val="auto"/>
        </w:rPr>
      </w:pPr>
    </w:p>
    <w:p>
      <w:pPr>
        <w:ind w:left="820"/>
        <w:spacing w:after="0"/>
        <w:tabs>
          <w:tab w:leader="none" w:pos="142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The Pledgors or Party C breaches any provisions hereof;</w:t>
      </w:r>
    </w:p>
    <w:p>
      <w:pPr>
        <w:spacing w:after="0" w:line="225" w:lineRule="exact"/>
        <w:rPr>
          <w:sz w:val="20"/>
          <w:szCs w:val="20"/>
          <w:color w:val="auto"/>
        </w:rPr>
      </w:pPr>
    </w:p>
    <w:p>
      <w:pPr>
        <w:jc w:val="both"/>
        <w:ind w:left="1400" w:hanging="694"/>
        <w:spacing w:after="0" w:line="282" w:lineRule="auto"/>
        <w:tabs>
          <w:tab w:leader="none" w:pos="1380" w:val="left"/>
        </w:tabs>
        <w:rPr>
          <w:sz w:val="20"/>
          <w:szCs w:val="20"/>
          <w:color w:val="auto"/>
        </w:rPr>
      </w:pPr>
      <w:r>
        <w:rPr>
          <w:rFonts w:ascii="Times New Roman" w:cs="Times New Roman" w:eastAsia="Times New Roman" w:hAnsi="Times New Roman"/>
          <w:sz w:val="18"/>
          <w:szCs w:val="18"/>
          <w:color w:val="auto"/>
        </w:rPr>
        <w:t>7.1.5</w:t>
        <w:tab/>
        <w:t>Unless specifically stipulated in Clause 6.1.1, any Pledgor transfers or intends to transfer or waives the pledged Equity, or assigns the pledged Equity without written consent of the Pledgee;</w:t>
      </w:r>
    </w:p>
    <w:p>
      <w:pPr>
        <w:spacing w:after="0" w:line="162" w:lineRule="exact"/>
        <w:rPr>
          <w:sz w:val="20"/>
          <w:szCs w:val="20"/>
          <w:color w:val="auto"/>
        </w:rPr>
      </w:pPr>
    </w:p>
    <w:p>
      <w:pPr>
        <w:jc w:val="both"/>
        <w:ind w:left="1480" w:hanging="69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color w:val="auto"/>
        </w:rPr>
        <w:t>Any loan, undertaking, compensation, covenant or other debt owed by any Pledgors to any third party (1) is requested to be repaid or performed early owing to the Pledgor’s breach of contract; or (2) has been due but is unable to be repaid or performed, which results in adverse effect upon the Pledgor’s ability to perform the obligations hereunder;</w:t>
      </w:r>
    </w:p>
    <w:p>
      <w:pPr>
        <w:spacing w:after="0" w:line="176" w:lineRule="exact"/>
        <w:rPr>
          <w:sz w:val="20"/>
          <w:szCs w:val="20"/>
          <w:color w:val="auto"/>
        </w:rPr>
      </w:pPr>
    </w:p>
    <w:p>
      <w:pPr>
        <w:jc w:val="both"/>
        <w:ind w:left="1480" w:hanging="694"/>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8"/>
          <w:szCs w:val="18"/>
          <w:color w:val="auto"/>
        </w:rPr>
        <w:t>Any approval, license, permit or authority that makes this Contract enforceable, legal and valid is cancelled, suspended, void or materially modified;</w:t>
      </w:r>
    </w:p>
    <w:p>
      <w:pPr>
        <w:spacing w:after="0" w:line="162" w:lineRule="exact"/>
        <w:rPr>
          <w:sz w:val="20"/>
          <w:szCs w:val="20"/>
          <w:color w:val="auto"/>
        </w:rPr>
      </w:pPr>
    </w:p>
    <w:p>
      <w:pPr>
        <w:ind w:left="820"/>
        <w:spacing w:after="0"/>
        <w:tabs>
          <w:tab w:leader="none" w:pos="1380"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7"/>
          <w:szCs w:val="17"/>
          <w:color w:val="auto"/>
        </w:rPr>
        <w:t>Promulgation of any applicable laws causes this Contract illegal or the Pledgor unable to perform the obligations hereunder;</w:t>
      </w:r>
    </w:p>
    <w:p>
      <w:pPr>
        <w:spacing w:after="0" w:line="225" w:lineRule="exact"/>
        <w:rPr>
          <w:sz w:val="20"/>
          <w:szCs w:val="20"/>
          <w:color w:val="auto"/>
        </w:rPr>
      </w:pPr>
    </w:p>
    <w:p>
      <w:pPr>
        <w:jc w:val="both"/>
        <w:ind w:left="1500" w:hanging="694"/>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8"/>
          <w:szCs w:val="18"/>
          <w:color w:val="auto"/>
        </w:rPr>
        <w:t>Any adverse change occurs to any assets of any Pledgor, which, the Pledgee believes, affects the Pledgor’s ability to perform obligations hereunder;</w:t>
      </w:r>
    </w:p>
    <w:p>
      <w:pPr>
        <w:spacing w:after="0" w:line="162" w:lineRule="exact"/>
        <w:rPr>
          <w:sz w:val="20"/>
          <w:szCs w:val="20"/>
          <w:color w:val="auto"/>
        </w:rPr>
      </w:pPr>
    </w:p>
    <w:p>
      <w:pPr>
        <w:jc w:val="both"/>
        <w:ind w:left="1480" w:hanging="694"/>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7.1.10</w:t>
        <w:tab/>
        <w:t>The successors or trustees of Party C and the Pledgors can only perform any obligation under the Transaction Documents in part, or refuse to perform any obligation under the Transaction Documents; and</w:t>
      </w:r>
    </w:p>
    <w:p>
      <w:pPr>
        <w:spacing w:after="0" w:line="162" w:lineRule="exact"/>
        <w:rPr>
          <w:sz w:val="20"/>
          <w:szCs w:val="20"/>
          <w:color w:val="auto"/>
        </w:rPr>
      </w:pPr>
    </w:p>
    <w:p>
      <w:pPr>
        <w:ind w:left="820"/>
        <w:spacing w:after="0"/>
        <w:tabs>
          <w:tab w:leader="none" w:pos="1420" w:val="left"/>
        </w:tabs>
        <w:rPr>
          <w:sz w:val="20"/>
          <w:szCs w:val="20"/>
          <w:color w:val="auto"/>
        </w:rPr>
      </w:pPr>
      <w:r>
        <w:rPr>
          <w:rFonts w:ascii="Times New Roman" w:cs="Times New Roman" w:eastAsia="Times New Roman" w:hAnsi="Times New Roman"/>
          <w:sz w:val="18"/>
          <w:szCs w:val="18"/>
          <w:color w:val="auto"/>
        </w:rPr>
        <w:t>7.1.11</w:t>
      </w:r>
      <w:r>
        <w:rPr>
          <w:sz w:val="20"/>
          <w:szCs w:val="20"/>
          <w:color w:val="auto"/>
        </w:rPr>
        <w:tab/>
      </w:r>
      <w:r>
        <w:rPr>
          <w:rFonts w:ascii="Times New Roman" w:cs="Times New Roman" w:eastAsia="Times New Roman" w:hAnsi="Times New Roman"/>
          <w:sz w:val="17"/>
          <w:szCs w:val="17"/>
          <w:color w:val="auto"/>
        </w:rPr>
        <w:t>The Pledgee is unable or may be unable to exercise any right to the Pledge.</w:t>
      </w:r>
    </w:p>
    <w:p>
      <w:pPr>
        <w:spacing w:after="0" w:line="225" w:lineRule="exact"/>
        <w:rPr>
          <w:sz w:val="20"/>
          <w:szCs w:val="20"/>
          <w:color w:val="auto"/>
        </w:rPr>
      </w:pPr>
    </w:p>
    <w:p>
      <w:pPr>
        <w:jc w:val="both"/>
        <w:ind w:left="66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Pledgors shall give written notice to the Pledgee immediately when they know or find any circumstance set forth in Clause 7.1 or any event that may cause such circumstances.</w:t>
      </w:r>
    </w:p>
    <w:p>
      <w:pPr>
        <w:spacing w:after="0" w:line="162" w:lineRule="exact"/>
        <w:rPr>
          <w:sz w:val="20"/>
          <w:szCs w:val="20"/>
          <w:color w:val="auto"/>
        </w:rPr>
      </w:pPr>
    </w:p>
    <w:p>
      <w:pPr>
        <w:jc w:val="both"/>
        <w:ind w:left="620" w:hanging="748"/>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Unless the Breach Events set forth in Clause 7.1 have been corrected to the satisfaction of the Pledgee, the Pledgee may send a Breach Notice to Party C and the Pledgor when or after the Breach Event occurs, requesting the Pledgor and Party C to immediately perform obligations under the Transaction Documents, and/or dispose of the Pledge according to Clause 8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ind w:left="640" w:hanging="632"/>
        <w:spacing w:after="0"/>
        <w:tabs>
          <w:tab w:leader="none" w:pos="6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Enforcement of the Pledge</w:t>
      </w:r>
    </w:p>
    <w:p>
      <w:pPr>
        <w:spacing w:after="0" w:line="229" w:lineRule="exact"/>
        <w:rPr>
          <w:sz w:val="20"/>
          <w:szCs w:val="20"/>
          <w:color w:val="auto"/>
        </w:rPr>
      </w:pPr>
    </w:p>
    <w:p>
      <w:pPr>
        <w:jc w:val="both"/>
        <w:ind w:left="620" w:hanging="748"/>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Before the obligations under the Transaction Documents are fully performed, the Pledgors shall not transfer their Equity in Party C without written consent of the Pledgee.</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Pledgee may send a Breach Notice to the Pledgors when it exercises the Pledge.</w:t>
      </w:r>
    </w:p>
    <w:p>
      <w:pPr>
        <w:spacing w:after="0" w:line="225" w:lineRule="exact"/>
        <w:rPr>
          <w:sz w:val="20"/>
          <w:szCs w:val="20"/>
          <w:color w:val="auto"/>
        </w:rPr>
      </w:pPr>
    </w:p>
    <w:p>
      <w:pPr>
        <w:jc w:val="both"/>
        <w:ind w:left="640" w:hanging="748"/>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Subject to the provisions of Clause 7.3 hereof, the Pledgee may enforce any rights to the Pledge when or after it sends the Breach Notice according to Clause 7.2 hereof.</w:t>
      </w:r>
    </w:p>
    <w:p>
      <w:pPr>
        <w:spacing w:after="0" w:line="162" w:lineRule="exact"/>
        <w:rPr>
          <w:sz w:val="20"/>
          <w:szCs w:val="20"/>
          <w:color w:val="auto"/>
        </w:rPr>
      </w:pPr>
    </w:p>
    <w:p>
      <w:pPr>
        <w:jc w:val="both"/>
        <w:ind w:left="600" w:hanging="748"/>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Pledgee is entitled to first payment from the proceeds of transfer, auction or sale of the pledged Equity hereunder in whole or in part according to the legal procedures, until the obligations under the Transaction Documents are fully performed by Party C and the Pledgors.</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When the Pledgee disposes of the Pledge according to this Contract, the Pledgors and Party C shall provide necessary assistance to enable the Pledgee to enforce the Pledge according to this Contract.</w:t>
      </w:r>
    </w:p>
    <w:p>
      <w:pPr>
        <w:spacing w:after="0" w:line="162"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The Pledgors shall assume all expenses, taxes and legal costs with respect to creation of the Pledge and realization of the Pledgee’s rights hereunder, except for those to be assumed by the Pledgee or Party C according to law or the agreement between the Parties.</w:t>
      </w:r>
    </w:p>
    <w:p>
      <w:pPr>
        <w:spacing w:after="0" w:line="162" w:lineRule="exact"/>
        <w:rPr>
          <w:sz w:val="20"/>
          <w:szCs w:val="20"/>
          <w:color w:val="auto"/>
        </w:rPr>
      </w:pPr>
    </w:p>
    <w:p>
      <w:pPr>
        <w:jc w:val="both"/>
        <w:ind w:left="680" w:hanging="748"/>
        <w:spacing w:after="0" w:line="253" w:lineRule="auto"/>
        <w:tabs>
          <w:tab w:leader="none" w:pos="66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Parties acknowledge that each founding shareholder (i.e., Tianhua Wu, Ke Yang and Ming Dong) and Party C shall be jointly and severally liable for any breach of any provisions hereof, and shall not be jointly and severally liable for any breach of this Contract by other shareholders than the founding shareholders and the employee shareholding platform (“</w:t>
      </w:r>
      <w:r>
        <w:rPr>
          <w:rFonts w:ascii="Times New Roman" w:cs="Times New Roman" w:eastAsia="Times New Roman" w:hAnsi="Times New Roman"/>
          <w:sz w:val="18"/>
          <w:szCs w:val="18"/>
          <w:b w:val="1"/>
          <w:bCs w:val="1"/>
          <w:color w:val="auto"/>
        </w:rPr>
        <w:t>Investor Shareholders</w:t>
      </w:r>
      <w:r>
        <w:rPr>
          <w:rFonts w:ascii="Times New Roman" w:cs="Times New Roman" w:eastAsia="Times New Roman" w:hAnsi="Times New Roman"/>
          <w:sz w:val="18"/>
          <w:szCs w:val="18"/>
          <w:color w:val="auto"/>
        </w:rPr>
        <w:t>”) (unless any founding shareholder provides assistance to any transfer or other disposal of the Equity by any Investor Shareholder in violation of this Contract, and fails to notify the Pledgee to take corresponding measures or to obtain consent of Party A, in which case the founding shareholder shall assume joint and several liability with the Investor Shareholder for the latter’s breach). Each Investor Shareholder shall be severally liable for any breach under the Transaction Documents attributable to itself, and shall not assume any joint and several liability for any breach by the other Parties hereto. Without limiting the generality of the above provisions, notwithstanding any contrary provisions hereof, the Pledgee shall exercise the Pledge against all Pledgors in proportion to their respective shareholding percentages, unless the exercise of the Pledge is resulting from any Pledgor’s breach of any representations, warranties or covenants under the Transaction Documents, in which case the Pledgee has the right to first exercise the Pledge against the Equity held by the above Pledgor.</w:t>
      </w:r>
    </w:p>
    <w:p>
      <w:pPr>
        <w:spacing w:after="0" w:line="188" w:lineRule="exact"/>
        <w:rPr>
          <w:sz w:val="20"/>
          <w:szCs w:val="20"/>
          <w:color w:val="auto"/>
        </w:rPr>
      </w:pPr>
    </w:p>
    <w:p>
      <w:pPr>
        <w:ind w:left="680" w:hanging="672"/>
        <w:spacing w:after="0"/>
        <w:tabs>
          <w:tab w:leader="none" w:pos="68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No Pledgor may transfer or delegate any rights or obligations hereunder without prior written consent of the Pledgee.</w:t>
      </w:r>
    </w:p>
    <w:p>
      <w:pPr>
        <w:spacing w:after="0" w:line="225" w:lineRule="exact"/>
        <w:rPr>
          <w:sz w:val="20"/>
          <w:szCs w:val="20"/>
          <w:color w:val="auto"/>
        </w:rPr>
      </w:pPr>
    </w:p>
    <w:p>
      <w:pPr>
        <w:jc w:val="both"/>
        <w:ind w:left="660" w:hanging="7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This Contract shall bind each Pledgor and its/his successors and permitted assigns, and inure to the benefit of the Pledgee and its successors and assigns. When the Pledgee deems necessary, the Pledgors shall procure their respective successors and permitted assigns to execute necessary documents to ensure that they are bound by this Contract.</w:t>
      </w:r>
    </w:p>
    <w:p>
      <w:pPr>
        <w:spacing w:after="0" w:line="176" w:lineRule="exact"/>
        <w:rPr>
          <w:sz w:val="20"/>
          <w:szCs w:val="20"/>
          <w:color w:val="auto"/>
        </w:rPr>
      </w:pPr>
    </w:p>
    <w:p>
      <w:pPr>
        <w:jc w:val="both"/>
        <w:ind w:left="500" w:hanging="748"/>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9.3</w:t>
        <w:tab/>
        <w:t>The Pledgee may transfer any and all of its rights and obligations under the Transaction Documents to any person designated by it (whether natural person or legal person) by giving notice to the Pledgors at any time. In such case, the transferee shall enjoy and assume the rights and obligations hereunder, as if it is an original party to this Contract. When the Pledgee transfers any rights and obligations under the Transaction Documents, the Pledgors shall execute relevant agreement or other documents relating to the transfer at the request of the Pledgee.</w:t>
      </w:r>
    </w:p>
    <w:p>
      <w:pPr>
        <w:spacing w:after="0" w:line="180" w:lineRule="exact"/>
        <w:rPr>
          <w:sz w:val="20"/>
          <w:szCs w:val="20"/>
          <w:color w:val="auto"/>
        </w:rPr>
      </w:pPr>
    </w:p>
    <w:p>
      <w:pPr>
        <w:jc w:val="both"/>
        <w:ind w:left="720" w:hanging="748"/>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If the Pledgee is to be changed due to any transfer, at the request of the Pledgee, the Pledgor shall enter into a new pledge contract of the same terms and conditions as those of this Contract with the new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jc w:val="both"/>
        <w:ind w:left="672" w:hanging="748"/>
        <w:spacing w:after="0" w:line="261" w:lineRule="auto"/>
        <w:tabs>
          <w:tab w:leader="none" w:pos="651"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Pledgors shall strictly comply with this Contract and any other contracts entered into by the Parties hereto or any Party jointly or severally, including the Exclusive Option Contract and the Power of Attorney issued in favor of the Pledgee, shall perform the obligations under this Contract and other contracts, and shall not take any acts or omissions that may affect the validity or enforceability hereof or thereof. Unless as instructed by the Pledgee in writing, the Pledgors shall not exercise any residual rights to the pledged Equity hereunder.</w:t>
      </w:r>
    </w:p>
    <w:p>
      <w:pPr>
        <w:spacing w:after="0" w:line="176" w:lineRule="exact"/>
        <w:rPr>
          <w:sz w:val="20"/>
          <w:szCs w:val="20"/>
          <w:color w:val="auto"/>
        </w:rPr>
      </w:pPr>
    </w:p>
    <w:p>
      <w:pPr>
        <w:ind w:left="672" w:hanging="672"/>
        <w:spacing w:after="0"/>
        <w:tabs>
          <w:tab w:leader="none" w:pos="672"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752" w:right="20"/>
        <w:spacing w:after="0" w:line="282" w:lineRule="auto"/>
        <w:rPr>
          <w:sz w:val="20"/>
          <w:szCs w:val="20"/>
          <w:color w:val="auto"/>
        </w:rPr>
      </w:pPr>
      <w:r>
        <w:rPr>
          <w:rFonts w:ascii="Times New Roman" w:cs="Times New Roman" w:eastAsia="Times New Roman" w:hAnsi="Times New Roman"/>
          <w:sz w:val="18"/>
          <w:szCs w:val="18"/>
          <w:color w:val="auto"/>
        </w:rPr>
        <w:t>When all obligations of Party C and the Pledgors under the Transaction Documents are terminated, this Contract shall terminate, and the Pledgee shall terminate this Contract as soon as reasonably and practicably possible.</w:t>
      </w:r>
    </w:p>
    <w:p>
      <w:pPr>
        <w:spacing w:after="0" w:line="162" w:lineRule="exact"/>
        <w:rPr>
          <w:sz w:val="20"/>
          <w:szCs w:val="20"/>
          <w:color w:val="auto"/>
        </w:rPr>
      </w:pPr>
    </w:p>
    <w:p>
      <w:pPr>
        <w:ind w:left="752"/>
        <w:spacing w:after="0" w:line="282" w:lineRule="auto"/>
        <w:rPr>
          <w:sz w:val="20"/>
          <w:szCs w:val="20"/>
          <w:color w:val="auto"/>
        </w:rPr>
      </w:pPr>
      <w:r>
        <w:rPr>
          <w:rFonts w:ascii="Times New Roman" w:cs="Times New Roman" w:eastAsia="Times New Roman" w:hAnsi="Times New Roman"/>
          <w:sz w:val="18"/>
          <w:szCs w:val="18"/>
          <w:color w:val="auto"/>
        </w:rPr>
        <w:t>Unless the laws provide otherwise, the Pledgors or Party C has no right to terminate or rescind this Contract in any case without written consent of the Pledgee.</w:t>
      </w:r>
    </w:p>
    <w:p>
      <w:pPr>
        <w:spacing w:after="0" w:line="158" w:lineRule="exact"/>
        <w:rPr>
          <w:sz w:val="20"/>
          <w:szCs w:val="20"/>
          <w:color w:val="auto"/>
        </w:rPr>
      </w:pPr>
    </w:p>
    <w:p>
      <w:pPr>
        <w:ind w:left="672" w:hanging="672"/>
        <w:spacing w:after="0"/>
        <w:tabs>
          <w:tab w:leader="none" w:pos="67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Formality Charges and Other Costs</w:t>
      </w:r>
    </w:p>
    <w:p>
      <w:pPr>
        <w:spacing w:after="0" w:line="229" w:lineRule="exact"/>
        <w:rPr>
          <w:sz w:val="20"/>
          <w:szCs w:val="20"/>
          <w:color w:val="auto"/>
        </w:rPr>
      </w:pPr>
    </w:p>
    <w:p>
      <w:pPr>
        <w:jc w:val="both"/>
        <w:ind w:left="752"/>
        <w:spacing w:after="0" w:line="266" w:lineRule="auto"/>
        <w:rPr>
          <w:sz w:val="20"/>
          <w:szCs w:val="20"/>
          <w:color w:val="auto"/>
        </w:rPr>
      </w:pPr>
      <w:r>
        <w:rPr>
          <w:rFonts w:ascii="Times New Roman" w:cs="Times New Roman" w:eastAsia="Times New Roman" w:hAnsi="Times New Roman"/>
          <w:sz w:val="18"/>
          <w:szCs w:val="18"/>
          <w:color w:val="auto"/>
        </w:rPr>
        <w:t>Party C shall assume all costs and expenses relating to this Contract, including but not limited to attorney’s fee, cost of production, stamp duty and other taxes and duties. If the Pledgee is required to assume certain taxes and duties according to applicable law, the Pledgors shall procure Party C to fully refund the taxes and duties already paid by the Pledgee.</w:t>
      </w:r>
    </w:p>
    <w:p>
      <w:pPr>
        <w:spacing w:after="0" w:line="172" w:lineRule="exact"/>
        <w:rPr>
          <w:sz w:val="20"/>
          <w:szCs w:val="20"/>
          <w:color w:val="auto"/>
        </w:rPr>
      </w:pPr>
    </w:p>
    <w:p>
      <w:pPr>
        <w:ind w:left="632" w:hanging="632"/>
        <w:spacing w:after="0"/>
        <w:tabs>
          <w:tab w:leader="none" w:pos="63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Obligation</w:t>
      </w:r>
    </w:p>
    <w:p>
      <w:pPr>
        <w:spacing w:after="0" w:line="229" w:lineRule="exact"/>
        <w:rPr>
          <w:sz w:val="20"/>
          <w:szCs w:val="20"/>
          <w:color w:val="auto"/>
        </w:rPr>
      </w:pPr>
    </w:p>
    <w:p>
      <w:pPr>
        <w:jc w:val="both"/>
        <w:ind w:left="752"/>
        <w:spacing w:after="0" w:line="254" w:lineRule="auto"/>
        <w:rPr>
          <w:sz w:val="20"/>
          <w:szCs w:val="20"/>
          <w:color w:val="auto"/>
        </w:rPr>
      </w:pPr>
      <w:r>
        <w:rPr>
          <w:rFonts w:ascii="Times New Roman" w:cs="Times New Roman" w:eastAsia="Times New Roman" w:hAnsi="Times New Roman"/>
          <w:sz w:val="18"/>
          <w:szCs w:val="18"/>
          <w:color w:val="auto"/>
        </w:rPr>
        <w:t>The Parties acknowledge that any oral or written information exchanged between them with respect to this Contract are confidential information. Each Party shall keep such information confidential, and shall not disclosure such information to any third party without written consent of the other Parties, except for any information (a) known to the public (not through disclosure by the receiving Party); (b) the disclosure of which is required by applicable laws or any rules or regulations of any stock exchange; or (c) required by any transaction contemplated herein to be disclosed to either Party’s legal or financial consultant who shall be bound by any confidentiality obligations similar to those under this Clause</w:t>
      </w:r>
    </w:p>
    <w:p>
      <w:pPr>
        <w:spacing w:after="0" w:line="3" w:lineRule="exact"/>
        <w:rPr>
          <w:sz w:val="20"/>
          <w:szCs w:val="20"/>
          <w:color w:val="auto"/>
        </w:rPr>
      </w:pPr>
    </w:p>
    <w:p>
      <w:pPr>
        <w:jc w:val="both"/>
        <w:ind w:left="752" w:right="20" w:hanging="3"/>
        <w:spacing w:after="0" w:line="290" w:lineRule="auto"/>
        <w:tabs>
          <w:tab w:leader="none" w:pos="1026"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disclosure by any personnel or organization employed by either Party shall be deemed disclosure by such Party, and such Party shall be liable for breach by the personnel or organization of this Contract. This Clause 12 shall survive termination of this Contract for whatever reasons.</w:t>
      </w:r>
    </w:p>
    <w:p>
      <w:pPr>
        <w:spacing w:after="0" w:line="153" w:lineRule="exact"/>
        <w:rPr>
          <w:rFonts w:ascii="Times New Roman" w:cs="Times New Roman" w:eastAsia="Times New Roman" w:hAnsi="Times New Roman"/>
          <w:sz w:val="17"/>
          <w:szCs w:val="17"/>
          <w:color w:val="auto"/>
        </w:rPr>
      </w:pPr>
    </w:p>
    <w:p>
      <w:pPr>
        <w:ind w:left="632" w:hanging="632"/>
        <w:spacing w:after="0"/>
        <w:tabs>
          <w:tab w:leader="none" w:pos="63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Applicable Law and Dispute Resolution</w:t>
      </w:r>
    </w:p>
    <w:p>
      <w:pPr>
        <w:spacing w:after="0" w:line="229" w:lineRule="exact"/>
        <w:rPr>
          <w:sz w:val="20"/>
          <w:szCs w:val="20"/>
          <w:color w:val="auto"/>
        </w:rPr>
      </w:pPr>
    </w:p>
    <w:p>
      <w:pPr>
        <w:jc w:val="both"/>
        <w:ind w:left="732" w:hanging="748"/>
        <w:spacing w:after="0" w:line="266" w:lineRule="auto"/>
        <w:tabs>
          <w:tab w:leader="none" w:pos="711"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execution, validity, interpretation and performance hereof, and the resolution of any dispute hereunder shall be governed by the officially promulgated and publicly available laws of China. Any matter not covered by the officially promulgated and publicly available laws of China shall be governed by the international legal principles and conventions.</w:t>
      </w:r>
    </w:p>
    <w:p>
      <w:pPr>
        <w:spacing w:after="0" w:line="176" w:lineRule="exact"/>
        <w:rPr>
          <w:sz w:val="20"/>
          <w:szCs w:val="20"/>
          <w:color w:val="auto"/>
        </w:rPr>
      </w:pPr>
    </w:p>
    <w:p>
      <w:pPr>
        <w:jc w:val="both"/>
        <w:ind w:left="632" w:hanging="748"/>
        <w:spacing w:after="0" w:line="261" w:lineRule="auto"/>
        <w:tabs>
          <w:tab w:leader="none" w:pos="611"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If any dispute arises out of interpretation or performance of this Contract, the Parties shall consult to resolve such dispute in good faith. If the Parties fail to reach an agreement on resolution of the dispute within 30 days after either Party proposes consultation, either Party may refer the dispute to China International Economic and Trade Arbitration Commission for arbitration according to the current arbitration rules of the Commission. The arbitration shall be conducted in Beijing in Chinese. The arbitration award shall be conclusive and bind the Parties.</w:t>
      </w:r>
    </w:p>
    <w:p>
      <w:pPr>
        <w:spacing w:after="0" w:line="180" w:lineRule="exact"/>
        <w:rPr>
          <w:sz w:val="20"/>
          <w:szCs w:val="20"/>
          <w:color w:val="auto"/>
        </w:rPr>
      </w:pPr>
    </w:p>
    <w:p>
      <w:pPr>
        <w:jc w:val="both"/>
        <w:ind w:left="652" w:hanging="748"/>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Where any dispute arises out of interpretation or performance hereof, or when any dispute is under arbitration, except for the disputed matters, the Parties shall continue to exercise their respective rights and perform their respective obligations hereunder.</w:t>
      </w:r>
    </w:p>
    <w:p>
      <w:pPr>
        <w:spacing w:after="0" w:line="158" w:lineRule="exact"/>
        <w:rPr>
          <w:sz w:val="20"/>
          <w:szCs w:val="20"/>
          <w:color w:val="auto"/>
        </w:rPr>
      </w:pPr>
    </w:p>
    <w:p>
      <w:pPr>
        <w:ind w:left="672" w:hanging="672"/>
        <w:spacing w:after="0"/>
        <w:tabs>
          <w:tab w:leader="none" w:pos="672"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Notification</w:t>
      </w:r>
    </w:p>
    <w:p>
      <w:pPr>
        <w:spacing w:after="0" w:line="229" w:lineRule="exact"/>
        <w:rPr>
          <w:sz w:val="20"/>
          <w:szCs w:val="20"/>
          <w:color w:val="auto"/>
        </w:rPr>
      </w:pPr>
    </w:p>
    <w:p>
      <w:pPr>
        <w:ind w:left="732" w:hanging="748"/>
        <w:spacing w:after="0" w:line="282" w:lineRule="auto"/>
        <w:tabs>
          <w:tab w:leader="none" w:pos="711"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All notices and other communications required or permitted by this Contract shall be sent to the designated address of each Party by personal delivery, postage-prepaid registered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855980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233" w:name="page234"/>
    <w:bookmarkEnd w:id="233"/>
    <w:p>
      <w:pPr>
        <w:ind w:left="760"/>
        <w:spacing w:after="0"/>
        <w:rPr>
          <w:sz w:val="20"/>
          <w:szCs w:val="20"/>
          <w:color w:val="auto"/>
        </w:rPr>
      </w:pPr>
      <w:r>
        <w:rPr>
          <w:rFonts w:ascii="Times New Roman" w:cs="Times New Roman" w:eastAsia="Times New Roman" w:hAnsi="Times New Roman"/>
          <w:sz w:val="18"/>
          <w:szCs w:val="18"/>
          <w:color w:val="auto"/>
        </w:rPr>
        <w:t>commercial courier service or fax. A confirmation shall be sent by email for each notice. The notice shall be deemed given:</w:t>
      </w:r>
    </w:p>
    <w:p>
      <w:pPr>
        <w:spacing w:after="0" w:line="225" w:lineRule="exact"/>
        <w:rPr>
          <w:sz w:val="20"/>
          <w:szCs w:val="20"/>
          <w:color w:val="auto"/>
        </w:rPr>
      </w:pPr>
    </w:p>
    <w:p>
      <w:pPr>
        <w:ind w:left="1500" w:hanging="694"/>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14.1.1</w:t>
        <w:tab/>
        <w:t>When it is delivered or refused at the designated receiving address, in case of personal delivery, courier service or postage-prepaid registered mail.</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14.1.2 On the date when it is successfully transmitted evidenced by the transmission confirmation generated automatically, in case of fax.</w:t>
      </w:r>
    </w:p>
    <w:p>
      <w:pPr>
        <w:spacing w:after="0" w:line="221" w:lineRule="exact"/>
        <w:rPr>
          <w:sz w:val="20"/>
          <w:szCs w:val="20"/>
          <w:color w:val="auto"/>
        </w:rPr>
      </w:pPr>
    </w:p>
    <w:p>
      <w:pPr>
        <w:ind w:left="680" w:hanging="672"/>
        <w:spacing w:after="0"/>
        <w:tabs>
          <w:tab w:leader="none" w:pos="6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If any or several provisions hereof are decided void, illegal or unenforceable in any respect according to any laws or regulations, the validity, legality or enforceability of the remaining provisions hereof shall not be affected or impaired in any respect. The Parties shall consult in good faith to replace such void, illegal or unenforceable provisions with valid provisions to the maximum extent permitted by laws and expected by the Parties, so that the valid provisions have as much similar economic effect to that of those void, illegal or unenforceable as possible.</w:t>
      </w:r>
    </w:p>
    <w:p>
      <w:pPr>
        <w:spacing w:after="0" w:line="176" w:lineRule="exact"/>
        <w:rPr>
          <w:sz w:val="20"/>
          <w:szCs w:val="20"/>
          <w:color w:val="auto"/>
        </w:rPr>
      </w:pPr>
    </w:p>
    <w:p>
      <w:pPr>
        <w:ind w:left="680" w:hanging="672"/>
        <w:spacing w:after="0"/>
        <w:tabs>
          <w:tab w:leader="none" w:pos="6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exhibits attached hereto constitute an integral part of this Contract.</w:t>
      </w:r>
    </w:p>
    <w:p>
      <w:pPr>
        <w:spacing w:after="0" w:line="221" w:lineRule="exact"/>
        <w:rPr>
          <w:sz w:val="20"/>
          <w:szCs w:val="20"/>
          <w:color w:val="auto"/>
        </w:rPr>
      </w:pPr>
    </w:p>
    <w:p>
      <w:pPr>
        <w:ind w:left="640" w:hanging="632"/>
        <w:spacing w:after="0"/>
        <w:tabs>
          <w:tab w:leader="none" w:pos="6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w:t>
      </w:r>
    </w:p>
    <w:p>
      <w:pPr>
        <w:spacing w:after="0" w:line="229" w:lineRule="exact"/>
        <w:rPr>
          <w:sz w:val="20"/>
          <w:szCs w:val="20"/>
          <w:color w:val="auto"/>
        </w:rPr>
      </w:pPr>
    </w:p>
    <w:p>
      <w:pPr>
        <w:jc w:val="both"/>
        <w:ind w:left="620" w:hanging="748"/>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This Contract shall become effective when the Parties sign it. Any amendment to, modification of or supplement to this Contract shall be made in writing, and become effective when the Parties sign or seal. The Parties specifically agree that the signed electronic copies in PDF format exchanged by the Parties via email shall be deemed originals, and can serve as evidence of formation of this Agreement.</w:t>
      </w:r>
    </w:p>
    <w:p>
      <w:pPr>
        <w:spacing w:after="0" w:line="176" w:lineRule="exact"/>
        <w:rPr>
          <w:sz w:val="20"/>
          <w:szCs w:val="20"/>
          <w:color w:val="auto"/>
        </w:rPr>
      </w:pPr>
    </w:p>
    <w:p>
      <w:pPr>
        <w:jc w:val="both"/>
        <w:ind w:left="560" w:right="20" w:hanging="748"/>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17.2</w:t>
        <w:tab/>
        <w:t>This Agreement is written in Chinese. It is made in four (4) counterparts, with each Party holding one counterpart. All counterparts have equal legal force.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4" w:name="page235"/>
    <w:bookmarkEnd w:id="2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Bohu Xiangshang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Bohu Xiangshang Technology Co., Ltd.</w:t>
      </w:r>
    </w:p>
    <w:p>
      <w:pPr>
        <w:spacing w:after="0" w:line="250"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7"/>
          <w:szCs w:val="17"/>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wp:posOffset>
            </wp:positionV>
            <wp:extent cx="161163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Equity Pledge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Beijing Xiangshang Rongke Technology Development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Xiangshang Rongke Technology Development Co., Ltd.</w:t>
      </w:r>
    </w:p>
    <w:p>
      <w:pPr>
        <w:spacing w:after="0" w:line="250"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7"/>
          <w:szCs w:val="17"/>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wp:posOffset>
            </wp:positionV>
            <wp:extent cx="161163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Equity Pledge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Tianhua Wu</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Tianhua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26035</wp:posOffset>
            </wp:positionV>
            <wp:extent cx="27774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Equity Pledge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Ming Dong</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26035</wp:posOffset>
            </wp:positionV>
            <wp:extent cx="27774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Equity Pledge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38" w:name="page239"/>
    <w:bookmarkEnd w:id="238"/>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1</w:t>
            </w:r>
          </w:p>
        </w:tc>
        <w:tc>
          <w:tcPr>
            <w:tcW w:w="2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Register of Shareholders of Beijing Xiangshang Rongke Technology Development Co., Ltd.</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80" w:type="dxa"/>
            <w:vAlign w:val="bottom"/>
            <w:tcBorders>
              <w:left w:val="single" w:sz="8" w:color="auto"/>
              <w:right w:val="single" w:sz="8" w:color="auto"/>
            </w:tcBorders>
          </w:tcPr>
          <w:p>
            <w:pPr>
              <w:spacing w:after="0"/>
              <w:rPr>
                <w:sz w:val="15"/>
                <w:szCs w:val="15"/>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ID No./ Registration</w:t>
            </w:r>
          </w:p>
        </w:tc>
        <w:tc>
          <w:tcPr>
            <w:tcW w:w="19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Capital</w:t>
            </w:r>
          </w:p>
        </w:tc>
        <w:tc>
          <w:tcPr>
            <w:tcW w:w="17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Shareholding</w:t>
            </w:r>
          </w:p>
        </w:tc>
        <w:tc>
          <w:tcPr>
            <w:tcW w:w="2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 Uniform Social</w:t>
            </w:r>
          </w:p>
        </w:tc>
        <w:tc>
          <w:tcPr>
            <w:tcW w:w="19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Equity Pledge</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 ten</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Code</w:t>
            </w:r>
          </w:p>
        </w:tc>
        <w:tc>
          <w:tcPr>
            <w:tcW w:w="19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80" w:type="dxa"/>
            <w:vAlign w:val="bottom"/>
            <w:tcBorders>
              <w:left w:val="single" w:sz="8" w:color="auto"/>
              <w:right w:val="single" w:sz="8" w:color="auto"/>
            </w:tcBorders>
          </w:tcPr>
          <w:p>
            <w:pPr>
              <w:spacing w:after="0"/>
              <w:rPr>
                <w:sz w:val="11"/>
                <w:szCs w:val="11"/>
                <w:color w:val="auto"/>
              </w:rPr>
            </w:pPr>
          </w:p>
        </w:tc>
        <w:tc>
          <w:tcPr>
            <w:tcW w:w="27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thousand)</w:t>
            </w:r>
          </w:p>
        </w:tc>
        <w:tc>
          <w:tcPr>
            <w:tcW w:w="17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Tianhua Wu creates a pledge over</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Tianhua Wu</w:t>
            </w:r>
          </w:p>
        </w:tc>
        <w:tc>
          <w:tcPr>
            <w:tcW w:w="2720" w:type="dxa"/>
            <w:vAlign w:val="bottom"/>
            <w:tcBorders>
              <w:right w:val="single" w:sz="8" w:color="auto"/>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w w:val="98"/>
              </w:rPr>
              <w:t>##################</w:t>
            </w:r>
          </w:p>
        </w:tc>
        <w:tc>
          <w:tcPr>
            <w:tcW w:w="1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214.355244</w:t>
            </w: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97.9%</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 entire equity in the Company in</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favor of Ningxia Xiangshang Yixin</w:t>
            </w:r>
          </w:p>
        </w:tc>
        <w:tc>
          <w:tcPr>
            <w:tcW w:w="0" w:type="dxa"/>
            <w:vAlign w:val="bottom"/>
          </w:tcPr>
          <w:p>
            <w:pPr>
              <w:spacing w:after="0"/>
              <w:rPr>
                <w:sz w:val="1"/>
                <w:szCs w:val="1"/>
                <w:color w:val="auto"/>
              </w:rPr>
            </w:pPr>
          </w:p>
        </w:tc>
      </w:tr>
      <w:tr>
        <w:trPr>
          <w:trHeight w:val="90"/>
        </w:trPr>
        <w:tc>
          <w:tcPr>
            <w:tcW w:w="2080" w:type="dxa"/>
            <w:vAlign w:val="bottom"/>
            <w:tcBorders>
              <w:left w:val="single" w:sz="8" w:color="auto"/>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Technology Co., Ltd.</w:t>
            </w:r>
          </w:p>
        </w:tc>
        <w:tc>
          <w:tcPr>
            <w:tcW w:w="0" w:type="dxa"/>
            <w:vAlign w:val="bottom"/>
          </w:tcPr>
          <w:p>
            <w:pPr>
              <w:spacing w:after="0"/>
              <w:rPr>
                <w:sz w:val="1"/>
                <w:szCs w:val="1"/>
                <w:color w:val="auto"/>
              </w:rPr>
            </w:pPr>
          </w:p>
        </w:tc>
      </w:tr>
      <w:tr>
        <w:trPr>
          <w:trHeight w:val="211"/>
        </w:trPr>
        <w:tc>
          <w:tcPr>
            <w:tcW w:w="20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Ming Dong creates a pledge over</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Ming Dong</w:t>
            </w:r>
          </w:p>
        </w:tc>
        <w:tc>
          <w:tcPr>
            <w:tcW w:w="2720" w:type="dxa"/>
            <w:vAlign w:val="bottom"/>
            <w:tcBorders>
              <w:right w:val="single" w:sz="8" w:color="auto"/>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w w:val="98"/>
              </w:rPr>
              <w:t>##################</w:t>
            </w:r>
          </w:p>
        </w:tc>
        <w:tc>
          <w:tcPr>
            <w:tcW w:w="19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4.587907</w:t>
            </w: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 entire equity in the Company in</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favor of Ningxia Xiangshang Yixin</w:t>
            </w:r>
          </w:p>
        </w:tc>
        <w:tc>
          <w:tcPr>
            <w:tcW w:w="0" w:type="dxa"/>
            <w:vAlign w:val="bottom"/>
          </w:tcPr>
          <w:p>
            <w:pPr>
              <w:spacing w:after="0"/>
              <w:rPr>
                <w:sz w:val="1"/>
                <w:szCs w:val="1"/>
                <w:color w:val="auto"/>
              </w:rPr>
            </w:pPr>
          </w:p>
        </w:tc>
      </w:tr>
      <w:tr>
        <w:trPr>
          <w:trHeight w:val="90"/>
        </w:trPr>
        <w:tc>
          <w:tcPr>
            <w:tcW w:w="2080" w:type="dxa"/>
            <w:vAlign w:val="bottom"/>
            <w:tcBorders>
              <w:left w:val="single" w:sz="8" w:color="auto"/>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Technology Co., Ltd.</w:t>
            </w:r>
          </w:p>
        </w:tc>
        <w:tc>
          <w:tcPr>
            <w:tcW w:w="0" w:type="dxa"/>
            <w:vAlign w:val="bottom"/>
          </w:tcPr>
          <w:p>
            <w:pPr>
              <w:spacing w:after="0"/>
              <w:rPr>
                <w:sz w:val="1"/>
                <w:szCs w:val="1"/>
                <w:color w:val="auto"/>
              </w:rPr>
            </w:pPr>
          </w:p>
        </w:tc>
      </w:tr>
      <w:tr>
        <w:trPr>
          <w:trHeight w:val="2059"/>
        </w:trPr>
        <w:tc>
          <w:tcPr>
            <w:tcW w:w="20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(“Agreement”) is made by the following parties on November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Bohu Xiangshang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Social Credit Codes: 91640000MA76EDEQ9Q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the shareholders set forth in Exhibit 1 (List of Shareholders of Beijing Xiangshang Rongke Technology Development Co., Ltd.) attached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 of this Agreement, each of Party A and Party B is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Whereas, Party B is shareholders of Beijing Xiangshang Rongke Technology Development Co., Ltd.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holds 100% equity interest in the Company (“</w:t>
      </w:r>
      <w:r>
        <w:rPr>
          <w:rFonts w:ascii="Times New Roman" w:cs="Times New Roman" w:eastAsia="Times New Roman" w:hAnsi="Times New Roman"/>
          <w:sz w:val="18"/>
          <w:szCs w:val="18"/>
          <w:b w:val="1"/>
          <w:bCs w:val="1"/>
          <w:color w:val="auto"/>
        </w:rPr>
        <w:t>Party B’s Equity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reach the following agreements upon consensus through negotiation:</w:t>
      </w: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With respect to Party B’s Equity, Party B hereby irrevocably grants Party A the following rights to be exercised during the term hereof:</w:t>
      </w:r>
    </w:p>
    <w:p>
      <w:pPr>
        <w:spacing w:after="0" w:line="225"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Party A is hereby appointed by Party B as its sole agent and authorized person to represent Party B for all matters relating to Party B’s Equity, and to exercise all rights of Party B as shareholders of the Company, including but not limited to the right to (1) participate the shareholders’ meeting of the Company; (2) exercise all shareholder’s rights and voting powers enjoyed by Party B according to the laws of China and the shareholders’ agreement (or similar document, if applicable) and articles of association, including but not limited to sale, transfer, pledge or disposal of Party B’s Equity in whole or in part; and (3) nominate and appoint on behalf of Party B the legal representative (chairman of board of directors), directors, supervisors, CEO and other officers of the Company.</w:t>
      </w:r>
    </w:p>
    <w:p>
      <w:pPr>
        <w:spacing w:after="0" w:line="187" w:lineRule="exact"/>
        <w:rPr>
          <w:sz w:val="20"/>
          <w:szCs w:val="20"/>
          <w:color w:val="auto"/>
        </w:rPr>
      </w:pPr>
    </w:p>
    <w:p>
      <w:pPr>
        <w:jc w:val="both"/>
        <w:ind w:left="380" w:hanging="372"/>
        <w:spacing w:after="0" w:line="266" w:lineRule="auto"/>
        <w:tabs>
          <w:tab w:leader="none" w:pos="33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powers granted herein, Party A shall enjoy the power and authority under this Agreement, shall have the right to execute the transfer contract contemplated in the Exclusive Option Contract on behalf of Party B (Party B as a party to the transfer contract), and shall perform the provisions of the Equity Pledge Contract and the Exclusive Option Contract executed on the date hereof to which Party B is a party.</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taken by Party A with respect to Party B’s Equity shall be deemed acts of Party B, and all documents executed by Party A with respect to Party B’s Equity shall be deemed executed by Party B and bind upon Party B. Party B hereby acknowledges and approves such acts and/or documents taken or executed by Party A.</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3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the right to subdelegate or transfer in its sole discretion the rights concerning the matters abovementioned to other persons or entities, without prior notice or consent of Party B.</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Party B is shareholders of the Company, this Agreement and the authority hereunder are coupled with interest and irrevocable, and remain effective as from execution of this Agreement.</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3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Party B hereby waives all rights granted to Party A hereunder with respect to Party B’s Equity, and shall not exercise such rights by itself.</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41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arises out of interpretation or performance of this Agreement, the Parties shall consult to resolve such dispute amicably. If the Parties fail to reach an agreement on resolution of the dispute within 30 days after either Party proposes consultation, either Party may refer the dispute to China International Economic and Trade Arbitration Commission for arbitration according to the current arbitration rules of the Commission. The arbitration shall be conducted in Beijing in Chinese. The arbitration award shall be conclusive and bind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both"/>
        <w:ind w:left="380" w:hanging="372"/>
        <w:spacing w:after="0" w:line="266" w:lineRule="auto"/>
        <w:tabs>
          <w:tab w:leader="none" w:pos="3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written in Chinese. It is made in four (4) counterparts, with each Party holding one counterpart. All counterparts have equal legal force. The Parties specifically agree that the signed electronic copies in PDF format exchanged by the Parties via email shall be deemed originals, and can serve as evidence of formation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Power of Attorney to be executed by their respective authorized representatives.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1308735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1" w:name="page242"/>
    <w:bookmarkEnd w:id="2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Bohu Xiangshang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Bohu Xiangshang Technology Co., Ltd.</w:t>
      </w:r>
    </w:p>
    <w:p>
      <w:pPr>
        <w:spacing w:after="0" w:line="250"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7"/>
          <w:szCs w:val="17"/>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wp:posOffset>
            </wp:positionV>
            <wp:extent cx="161163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Beijing Xiangshang Rongke Technology Development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seal: /s/ Beijing Xiangshang Rongke Technology Development Co., Ltd.</w:t>
      </w:r>
    </w:p>
    <w:p>
      <w:pPr>
        <w:spacing w:after="0" w:line="250"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8"/>
          <w:szCs w:val="18"/>
          <w:color w:val="auto"/>
        </w:rPr>
        <w:t>Authorized representative:</w:t>
      </w:r>
      <w:r>
        <w:rPr>
          <w:sz w:val="20"/>
          <w:szCs w:val="20"/>
          <w:color w:val="auto"/>
        </w:rPr>
        <w:tab/>
      </w:r>
      <w:r>
        <w:rPr>
          <w:rFonts w:ascii="Times New Roman" w:cs="Times New Roman" w:eastAsia="Times New Roman" w:hAnsi="Times New Roman"/>
          <w:sz w:val="17"/>
          <w:szCs w:val="17"/>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wp:posOffset>
            </wp:positionV>
            <wp:extent cx="161163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t>Tianhua Wu</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Tianhua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26035</wp:posOffset>
            </wp:positionV>
            <wp:extent cx="27774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t>Ming Dong</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Ming 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26035</wp:posOffset>
            </wp:positionV>
            <wp:extent cx="27774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of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color w:val="auto"/>
        </w:rPr>
        <w:t>Exhibit 1 List of Shareholders of Beijing Xiangshang Rongke Technology Development Co., Ltd.</w:t>
      </w:r>
    </w:p>
    <w:p>
      <w:pPr>
        <w:spacing w:after="0" w:line="241" w:lineRule="exact"/>
        <w:rPr>
          <w:sz w:val="20"/>
          <w:szCs w:val="20"/>
          <w:color w:val="auto"/>
        </w:rPr>
      </w:pPr>
    </w:p>
    <w:p>
      <w:pPr>
        <w:ind w:left="440" w:hanging="432"/>
        <w:spacing w:after="0"/>
        <w:tabs>
          <w:tab w:leader="none" w:pos="4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Tianhua Wu, a Chinese citizen, with the ID No. ##################;</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Ming Dong, a Chinese citizen, with the ID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0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200" w:type="dxa"/>
            <w:vAlign w:val="bottom"/>
          </w:tcPr>
          <w:p>
            <w:pPr>
              <w:spacing w:after="0"/>
              <w:rPr>
                <w:sz w:val="13"/>
                <w:szCs w:val="13"/>
                <w:color w:val="auto"/>
              </w:rPr>
            </w:pPr>
          </w:p>
        </w:tc>
        <w:tc>
          <w:tcPr>
            <w:tcW w:w="16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000" w:type="dxa"/>
            <w:vAlign w:val="bottom"/>
            <w:vMerge w:val="restart"/>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20" w:type="dxa"/>
            <w:vAlign w:val="bottom"/>
          </w:tcPr>
          <w:p>
            <w:pPr>
              <w:spacing w:after="0"/>
              <w:rPr>
                <w:sz w:val="5"/>
                <w:szCs w:val="5"/>
                <w:color w:val="auto"/>
              </w:rPr>
            </w:pPr>
          </w:p>
        </w:tc>
        <w:tc>
          <w:tcPr>
            <w:tcW w:w="1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2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5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5560" w:type="dxa"/>
            <w:vAlign w:val="bottom"/>
          </w:tcPr>
          <w:p>
            <w:pPr>
              <w:spacing w:after="0"/>
              <w:rPr>
                <w:sz w:val="9"/>
                <w:szCs w:val="9"/>
                <w:color w:val="auto"/>
              </w:rPr>
            </w:pPr>
          </w:p>
        </w:tc>
        <w:tc>
          <w:tcPr>
            <w:tcW w:w="200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2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560" w:type="dxa"/>
            <w:vAlign w:val="bottom"/>
          </w:tcPr>
          <w:p>
            <w:pPr>
              <w:spacing w:after="0"/>
              <w:rPr>
                <w:sz w:val="6"/>
                <w:szCs w:val="6"/>
                <w:color w:val="auto"/>
              </w:rPr>
            </w:pPr>
          </w:p>
        </w:tc>
        <w:tc>
          <w:tcPr>
            <w:tcW w:w="200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(NZ) Limited (“TBNZ”)</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02, 2016</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February 08, 2018</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27, 2018</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Singapore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9"/>
        </w:trPr>
        <w:tc>
          <w:tcPr>
            <w:tcW w:w="5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United States of</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continue"/>
            <w:shd w:val="clear" w:color="auto" w:fill="CFF0FC"/>
          </w:tcPr>
          <w:p>
            <w:pPr>
              <w:spacing w:after="0"/>
              <w:rPr>
                <w:sz w:val="9"/>
                <w:szCs w:val="9"/>
                <w:color w:val="auto"/>
              </w:rPr>
            </w:pP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560" w:type="dxa"/>
            <w:vAlign w:val="bottom"/>
            <w:shd w:val="clear" w:color="auto" w:fill="CFF0FC"/>
          </w:tcPr>
          <w:p>
            <w:pPr>
              <w:spacing w:after="0"/>
              <w:rPr>
                <w:sz w:val="6"/>
                <w:szCs w:val="6"/>
                <w:color w:val="auto"/>
              </w:rPr>
            </w:pPr>
          </w:p>
        </w:tc>
        <w:tc>
          <w:tcPr>
            <w:tcW w:w="20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6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Bohu Xiangshang Technology Co., LTD (“Beijing BHXS”, “Beijing</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2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WFOE I”)</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56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5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Yixin Technology Co., Ltd (“Beijing Yixin”, “Beijing</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220" w:type="dxa"/>
            <w:vAlign w:val="bottom"/>
            <w:shd w:val="clear" w:color="auto" w:fill="CFF0FC"/>
          </w:tcPr>
          <w:p>
            <w:pPr>
              <w:spacing w:after="0"/>
              <w:rPr>
                <w:sz w:val="12"/>
                <w:szCs w:val="12"/>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WFOE II”)</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560" w:type="dxa"/>
            <w:vAlign w:val="bottom"/>
            <w:vMerge w:val="continue"/>
            <w:shd w:val="clear" w:color="auto" w:fill="CFF0FC"/>
          </w:tcPr>
          <w:p>
            <w:pPr>
              <w:spacing w:after="0"/>
              <w:rPr>
                <w:sz w:val="6"/>
                <w:szCs w:val="6"/>
                <w:color w:val="auto"/>
              </w:rPr>
            </w:pPr>
          </w:p>
        </w:tc>
        <w:tc>
          <w:tcPr>
            <w:tcW w:w="20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Wealthn LLC (“Wealthn”)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01, 2018</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Kastle Limited (“Kastle”)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15, 2018</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12, 2019</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Tradeup Inc. (“Tradeup”)</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10, 2019</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09, 2020</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27, 2021</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Tiger Brokers (AU) PTY Limited (“TBAU”)</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September 13, 2021</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26, 2021</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2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2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“Ningxia VIE”)</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56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5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220" w:type="dxa"/>
            <w:vAlign w:val="bottom"/>
            <w:shd w:val="clear" w:color="auto" w:fill="CFF0FC"/>
          </w:tcPr>
          <w:p>
            <w:pPr>
              <w:spacing w:after="0"/>
              <w:rPr>
                <w:sz w:val="12"/>
                <w:szCs w:val="12"/>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“Beijing VIE”)</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560" w:type="dxa"/>
            <w:vAlign w:val="bottom"/>
            <w:vMerge w:val="continue"/>
            <w:shd w:val="clear" w:color="auto" w:fill="CFF0FC"/>
          </w:tcPr>
          <w:p>
            <w:pPr>
              <w:spacing w:after="0"/>
              <w:rPr>
                <w:sz w:val="6"/>
                <w:szCs w:val="6"/>
                <w:color w:val="auto"/>
              </w:rPr>
            </w:pPr>
          </w:p>
        </w:tc>
        <w:tc>
          <w:tcPr>
            <w:tcW w:w="20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6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April 20, 2016</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21, 2016</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January 25, 2018</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05, 2018</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Guangzhou U-Tiger Technology Co., LTD (“Guangzhou U Tiger”)</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24, 2018</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80" w:firstLine="8"/>
        <w:spacing w:after="0" w:line="212" w:lineRule="auto"/>
        <w:tabs>
          <w:tab w:leader="none" w:pos="84" w:val="left"/>
        </w:tabs>
        <w:numPr>
          <w:ilvl w:val="0"/>
          <w:numId w:val="1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Tianhua Wu, certify that:</w:t>
      </w:r>
    </w:p>
    <w:p>
      <w:pPr>
        <w:spacing w:after="0" w:line="225" w:lineRule="exact"/>
        <w:rPr>
          <w:sz w:val="20"/>
          <w:szCs w:val="20"/>
          <w:color w:val="auto"/>
        </w:rPr>
      </w:pPr>
    </w:p>
    <w:p>
      <w:pPr>
        <w:ind w:left="1140" w:hanging="75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25" w:lineRule="exact"/>
        <w:rPr>
          <w:rFonts w:ascii="Times New Roman" w:cs="Times New Roman" w:eastAsia="Times New Roman" w:hAnsi="Times New Roman"/>
          <w:sz w:val="18"/>
          <w:szCs w:val="18"/>
          <w:color w:val="auto"/>
        </w:rPr>
      </w:pPr>
    </w:p>
    <w:p>
      <w:pPr>
        <w:ind w:left="1140" w:right="120" w:hanging="758"/>
        <w:spacing w:after="0" w:line="266" w:lineRule="auto"/>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420" w:hanging="758"/>
        <w:spacing w:after="0" w:line="312" w:lineRule="auto"/>
        <w:tabs>
          <w:tab w:leader="none" w:pos="11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80" w:hanging="758"/>
        <w:spacing w:after="0" w:line="276" w:lineRule="auto"/>
        <w:tabs>
          <w:tab w:leader="none" w:pos="11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7"/>
          <w:szCs w:val="17"/>
          <w:color w:val="auto"/>
        </w:rPr>
      </w:pPr>
    </w:p>
    <w:p>
      <w:pPr>
        <w:ind w:left="1500" w:right="180" w:hanging="369"/>
        <w:spacing w:after="0" w:line="266"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60" w:hanging="758"/>
        <w:spacing w:after="0" w:line="266" w:lineRule="auto"/>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500" w:right="260" w:hanging="369"/>
        <w:spacing w:after="0" w:line="234" w:lineRule="auto"/>
        <w:tabs>
          <w:tab w:leader="none" w:pos="150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6" w:lineRule="exact"/>
        <w:rPr>
          <w:rFonts w:ascii="Times New Roman" w:cs="Times New Roman" w:eastAsia="Times New Roman" w:hAnsi="Times New Roman"/>
          <w:sz w:val="22"/>
          <w:szCs w:val="22"/>
          <w:color w:val="auto"/>
        </w:rPr>
      </w:pPr>
    </w:p>
    <w:p>
      <w:pPr>
        <w:ind w:left="1500" w:right="560" w:hanging="369"/>
        <w:spacing w:after="0" w:line="234" w:lineRule="auto"/>
        <w:tabs>
          <w:tab w:leader="none" w:pos="150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Tianhua Wu</w:t>
            </w:r>
          </w:p>
        </w:tc>
        <w:tc>
          <w:tcPr>
            <w:tcW w:w="3460" w:type="dxa"/>
            <w:vAlign w:val="bottom"/>
            <w:tcBorders>
              <w:bottom w:val="single" w:sz="8" w:color="auto"/>
            </w:tcBorders>
          </w:tcPr>
          <w:p>
            <w:pPr>
              <w:spacing w:after="0"/>
              <w:rPr>
                <w:sz w:val="20"/>
                <w:szCs w:val="20"/>
                <w:color w:val="auto"/>
              </w:rPr>
            </w:pPr>
          </w:p>
        </w:tc>
      </w:tr>
      <w:tr>
        <w:trPr>
          <w:trHeight w:val="234"/>
        </w:trPr>
        <w:tc>
          <w:tcPr>
            <w:tcW w:w="664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Tianhua Wu</w:t>
            </w:r>
          </w:p>
        </w:tc>
      </w:tr>
      <w:tr>
        <w:trPr>
          <w:trHeight w:val="238"/>
        </w:trPr>
        <w:tc>
          <w:tcPr>
            <w:tcW w:w="664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35"/>
        </w:trPr>
        <w:tc>
          <w:tcPr>
            <w:tcW w:w="6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Fei Zeng, certify that:</w:t>
      </w:r>
    </w:p>
    <w:p>
      <w:pPr>
        <w:spacing w:after="0" w:line="225" w:lineRule="exact"/>
        <w:rPr>
          <w:sz w:val="20"/>
          <w:szCs w:val="20"/>
          <w:color w:val="auto"/>
        </w:rPr>
      </w:pPr>
    </w:p>
    <w:p>
      <w:pPr>
        <w:ind w:left="1140" w:hanging="758"/>
        <w:spacing w:after="0"/>
        <w:tabs>
          <w:tab w:leader="none" w:pos="114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13" w:lineRule="exact"/>
        <w:rPr>
          <w:rFonts w:ascii="Times New Roman" w:cs="Times New Roman" w:eastAsia="Times New Roman" w:hAnsi="Times New Roman"/>
          <w:sz w:val="19"/>
          <w:szCs w:val="19"/>
          <w:color w:val="auto"/>
        </w:rPr>
      </w:pPr>
    </w:p>
    <w:p>
      <w:pPr>
        <w:ind w:left="1140" w:right="120" w:hanging="758"/>
        <w:spacing w:after="0" w:line="259" w:lineRule="auto"/>
        <w:tabs>
          <w:tab w:leader="none" w:pos="114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9"/>
          <w:szCs w:val="19"/>
          <w:color w:val="auto"/>
        </w:rPr>
      </w:pPr>
    </w:p>
    <w:p>
      <w:pPr>
        <w:ind w:left="1140" w:right="420" w:hanging="758"/>
        <w:spacing w:after="0" w:line="298" w:lineRule="auto"/>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1140" w:right="280" w:hanging="758"/>
        <w:spacing w:after="0" w:line="268" w:lineRule="auto"/>
        <w:tabs>
          <w:tab w:leader="none" w:pos="11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8"/>
          <w:szCs w:val="18"/>
          <w:color w:val="auto"/>
        </w:rPr>
      </w:pPr>
    </w:p>
    <w:p>
      <w:pPr>
        <w:ind w:left="1500" w:right="180" w:hanging="369"/>
        <w:spacing w:after="0" w:line="266"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60" w:hanging="758"/>
        <w:spacing w:after="0" w:line="259" w:lineRule="auto"/>
        <w:tabs>
          <w:tab w:leader="none" w:pos="114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left="1500" w:right="260" w:hanging="369"/>
        <w:spacing w:after="0" w:line="282"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234"/>
        </w:trPr>
        <w:tc>
          <w:tcPr>
            <w:tcW w:w="6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John Fei Zeng</w:t>
            </w:r>
          </w:p>
        </w:tc>
      </w:tr>
      <w:tr>
        <w:trPr>
          <w:trHeight w:val="238"/>
        </w:trPr>
        <w:tc>
          <w:tcPr>
            <w:tcW w:w="6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93"/>
        </w:trPr>
        <w:tc>
          <w:tcPr>
            <w:tcW w:w="6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2023 as filed with the Securities and Exchange Commission on the date hereof (the “Report”), I, Tianhua Wu,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8" w:lineRule="auto"/>
        <w:tabs>
          <w:tab w:leader="none" w:pos="7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22,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Tianhua Wu</w:t>
            </w:r>
          </w:p>
        </w:tc>
      </w:tr>
      <w:tr>
        <w:trPr>
          <w:trHeight w:val="234"/>
        </w:trPr>
        <w:tc>
          <w:tcPr>
            <w:tcW w:w="6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Tianhua Wu</w:t>
            </w:r>
          </w:p>
        </w:tc>
      </w:tr>
      <w:tr>
        <w:trPr>
          <w:trHeight w:val="238"/>
        </w:trPr>
        <w:tc>
          <w:tcPr>
            <w:tcW w:w="66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40"/>
        </w:trPr>
        <w:tc>
          <w:tcPr>
            <w:tcW w:w="6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2023 as filed with the Securities and Exchange Commission on the date hereof (the “Report”), I, John Fei Zeng,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8" w:lineRule="auto"/>
        <w:tabs>
          <w:tab w:leader="none" w:pos="74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22,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60" w:type="dxa"/>
            <w:vAlign w:val="bottom"/>
          </w:tcPr>
          <w:p>
            <w:pPr>
              <w:ind w:left="6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234"/>
        </w:trPr>
        <w:tc>
          <w:tcPr>
            <w:tcW w:w="666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John Fei Zeng</w:t>
            </w:r>
          </w:p>
        </w:tc>
      </w:tr>
      <w:tr>
        <w:trPr>
          <w:trHeight w:val="238"/>
        </w:trPr>
        <w:tc>
          <w:tcPr>
            <w:tcW w:w="666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0"/>
        </w:trPr>
        <w:tc>
          <w:tcPr>
            <w:tcW w:w="6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 333-276228, No. 333-259241 and 333-231894) and Form F-3 (No. 333-256856) of our report dated April 22, 2024, with respect to the consolidated financial statements of UP Fintech Holding Limited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DAHUI LAWYERS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hereby consent to (1) the incorporation by reference in the registration statements on Form F-3 (File No. 333-256856) and Form S-8 (File No. 333-276228, File No. 333-259241 and File No. 333-231894) of UP Fintech Holding Ltd. (the “Company”) of the use of and reference to our name and the use of statements attributed to us in the annual report on Form 20-F of the Company filed with the U.S. Securities and Exchange Commission on April 22, 2024 and any amendments thereto (the “Annual Report”), under “Item 3. Key Information – Description of Certain PRC Regulations Affecting Our Business” and “Item 3. Key Information – D. Risk Factors”; and (2) the filing of this consent as an exhibit to the Annual Report by the Company for the use of our name and statements attributed to us in the above-mentioned sections.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DaHui Lawyers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37/F China World Tower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RECOUPMENT OF INCENTIVE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UP Fintech Holding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Policy on Recoupment of Incentive Compensation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rules and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listing standards implementing Section 954 of the Dodd-Frank Wall Street Reform and Consumer Protection Act of 2010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and, to the extent this Policy is in any manner deemed inconsistent with such rules, this Policy shall be treated as retroactively amended to be compliant with such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This Policy shall be binding and enforceable against all Executives and their beneficiaries, executors, administrators, and other legal representatives.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Upon Financial Restatement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18"/>
          <w:szCs w:val="18"/>
          <w:u w:val="single" w:color="auto"/>
          <w:color w:val="auto"/>
        </w:rPr>
        <w:t>Financial Restatement</w:t>
      </w:r>
      <w:r>
        <w:rPr>
          <w:rFonts w:ascii="Times New Roman" w:cs="Times New Roman" w:eastAsia="Times New Roman" w:hAnsi="Times New Roman"/>
          <w:sz w:val="18"/>
          <w:szCs w:val="18"/>
          <w:color w:val="auto"/>
        </w:rPr>
        <w:t>”), the Compensation Committee shall cause the Company to recoup from each Executive, as promptly as reasonably possible, any erroneously awarded Incentive-Based Compensation, as defined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No-Fault Recovery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Subject to Recovery; Enforcement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including but not limited to performance-based cash, stock, options or other equity-based awards paid or granted to the Executive (“</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the Nasdaq.</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the Nasdaq), (B) recovery would violate the home country law that was adopted prior to November 28, 2022, as determined by an opinion of counsel licensed in the applicable jurisdiction that is acceptable to and provided to the Nasdaq, or (C) recovery would likely cause the Company’s 401(k) plan or any other tax-qualified retirement plan to fail to meet the requirements of Section 401(a)(13) or Section 411(a) of the Internal Revenue Code of 1986, as amended, and the regulations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Remedies Not Precluded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by the Compensation Committee of any rights pursuant to this Policy shall be without prejudice to any other rights or remedies that the Company, the Board or the Compensation Committee may have with respect to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required by the Compensation Committee, each Executive shall be required to sign and return to the Company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 and Applicability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has been adopted by the Compensation Committee on November 22, 2023, and shall apply to any Incentive-Based Compensation that is received by an Executive on or after October 2,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DODD-FRANK COMPENSATION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Capitalized terms used but not otherwise defined in this Acknowledgement Form (this “</w:t>
      </w:r>
      <w:r>
        <w:rPr>
          <w:rFonts w:ascii="Times New Roman" w:cs="Times New Roman" w:eastAsia="Times New Roman" w:hAnsi="Times New Roman"/>
          <w:sz w:val="18"/>
          <w:szCs w:val="18"/>
          <w:b w:val="1"/>
          <w:bCs w:val="1"/>
          <w:i w:val="1"/>
          <w:iCs w:val="1"/>
          <w:color w:val="auto"/>
        </w:rPr>
        <w:t>Acknowledgement Form</w:t>
      </w:r>
      <w:r>
        <w:rPr>
          <w:rFonts w:ascii="Times New Roman" w:cs="Times New Roman" w:eastAsia="Times New Roman" w:hAnsi="Times New Roman"/>
          <w:sz w:val="18"/>
          <w:szCs w:val="18"/>
          <w:color w:val="auto"/>
        </w:rPr>
        <w:t>”) shall have the meanings ascribed to such terms in the Policy.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Company; and (iii) will abide by the terms of the Policy, including, without limitation, by reasonably promptly returning any recoverable compensation to the Company as required by the Policy, as determined by the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18"/>
          <w:szCs w:val="18"/>
          <w:color w:val="auto"/>
        </w:rPr>
        <w:t>Sign:</w:t>
      </w:r>
      <w:r>
        <w:rPr>
          <w:sz w:val="20"/>
          <w:szCs w:val="20"/>
          <w:color w:val="auto"/>
        </w:rPr>
        <w:tab/>
      </w:r>
      <w:r>
        <w:rPr>
          <w:rFonts w:ascii="Times New Roman" w:cs="Times New Roman" w:eastAsia="Times New Roman" w:hAnsi="Times New Roman"/>
          <w:sz w:val="18"/>
          <w:szCs w:val="18"/>
          <w:color w:val="auto"/>
        </w:rPr>
        <w:t>[Employee's signature]</w:t>
      </w:r>
    </w:p>
    <w:p>
      <w:pPr>
        <w:spacing w:after="0" w:line="225"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[Employee's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tabs>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7" w:name="page258"/>
    <w:bookmarkEnd w:id="2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1)"/>
      <w:numFmt w:val="lowerRoman"/>
      <w:start w:val="2"/>
    </w:lvl>
    <w:lvl w:ilvl="1">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1)"/>
      <w:numFmt w:val="lowerRoman"/>
      <w:start w:val="4"/>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1)"/>
      <w:numFmt w:val="decimal"/>
      <w:start w:val="1"/>
    </w:lvl>
  </w:abstractNum>
  <w:abstractNum w:abstractNumId="13">
    <w:nsid w:val="68EBC550"/>
    <w:multiLevelType w:val="hybridMultilevel"/>
    <w:lvl w:ilvl="0">
      <w:lvlJc w:val="left"/>
      <w:lvlText w:val="(%1)"/>
      <w:numFmt w:val="decimal"/>
      <w:start w:val="1"/>
    </w:lvl>
  </w:abstractNum>
  <w:abstractNum w:abstractNumId="14">
    <w:nsid w:val="2DF6D648"/>
    <w:multiLevelType w:val="hybridMultilevel"/>
    <w:lvl w:ilvl="0">
      <w:lvlJc w:val="left"/>
      <w:lvlText w:val="(%1)"/>
      <w:numFmt w:val="decimal"/>
      <w:start w:val="2"/>
    </w:lvl>
  </w:abstractNum>
  <w:abstractNum w:abstractNumId="15">
    <w:nsid w:val="46B7D447"/>
    <w:multiLevelType w:val="hybridMultilevel"/>
    <w:lvl w:ilvl="0">
      <w:lvlJc w:val="left"/>
      <w:lvlText w:val="(%1)"/>
      <w:numFmt w:val="decimal"/>
      <w:start w:val="1"/>
    </w:lvl>
  </w:abstractNum>
  <w:abstractNum w:abstractNumId="16">
    <w:nsid w:val="4A2AC315"/>
    <w:multiLevelType w:val="hybridMultilevel"/>
    <w:lvl w:ilvl="0">
      <w:lvlJc w:val="left"/>
      <w:lvlText w:val="%1."/>
      <w:numFmt w:val="upperLetter"/>
      <w:start w:val="1"/>
    </w:lvl>
  </w:abstractNum>
  <w:abstractNum w:abstractNumId="17">
    <w:nsid w:val="39EE015C"/>
    <w:multiLevelType w:val="hybridMultilevel"/>
    <w:lvl w:ilvl="0">
      <w:lvlJc w:val="left"/>
      <w:lvlText w:val="%1."/>
      <w:numFmt w:val="decimal"/>
      <w:start w:val="3"/>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1)"/>
      <w:numFmt w:val="lowerLetter"/>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1)"/>
      <w:numFmt w:val="lowerLetter"/>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6A3DD3E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2">
    <w:nsid w:val="71C9129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1."/>
      <w:numFmt w:val="decimal"/>
      <w:start w:val="3"/>
    </w:lvl>
  </w:abstractNum>
  <w:abstractNum w:abstractNumId="46">
    <w:nsid w:val="5092CA79"/>
    <w:multiLevelType w:val="hybridMultilevel"/>
    <w:lvl w:ilvl="0">
      <w:lvlJc w:val="left"/>
      <w:lvlText w:val="%1."/>
      <w:numFmt w:val="upperLetter"/>
      <w:start w:val="2"/>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1)"/>
      <w:numFmt w:val="decimal"/>
      <w:start w:val="1"/>
    </w:lvl>
  </w:abstractNum>
  <w:abstractNum w:abstractNumId="54">
    <w:nsid w:val="1CA0C5FA"/>
    <w:multiLevelType w:val="hybridMultilevel"/>
    <w:lvl w:ilvl="0">
      <w:lvlJc w:val="left"/>
      <w:lvlText w:val="(%1)"/>
      <w:numFmt w:val="decimal"/>
      <w:start w:val="2"/>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1)"/>
      <w:numFmt w:val="decimal"/>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lvl w:ilvl="1">
      <w:lvlJc w:val="left"/>
      <w:lvlText w:val="%2"/>
      <w:numFmt w:val="decimal"/>
      <w:start w:val="104"/>
    </w:lvl>
  </w:abstractNum>
  <w:abstractNum w:abstractNumId="61">
    <w:nsid w:val="E7FFA2B"/>
    <w:multiLevelType w:val="hybridMultilevel"/>
    <w:lvl w:ilvl="0">
      <w:lvlJc w:val="left"/>
      <w:lvlText w:val="(%1)"/>
      <w:numFmt w:val="lowerLetter"/>
      <w:start w:val="1"/>
    </w:lvl>
  </w:abstractNum>
  <w:abstractNum w:abstractNumId="62">
    <w:nsid w:val="3C5991AA"/>
    <w:multiLevelType w:val="hybridMultilevel"/>
    <w:lvl w:ilvl="0">
      <w:lvlJc w:val="left"/>
      <w:lvlText w:val="(%1)"/>
      <w:numFmt w:val="lowerLetter"/>
      <w:start w:val="1"/>
    </w:lvl>
  </w:abstractNum>
  <w:abstractNum w:abstractNumId="63">
    <w:nsid w:val="4BD8591A"/>
    <w:multiLevelType w:val="hybridMultilevel"/>
    <w:lvl w:ilvl="0">
      <w:lvlJc w:val="left"/>
      <w:lvlText w:val="%1."/>
      <w:numFmt w:val="decimal"/>
      <w:start w:val="1"/>
    </w:lvl>
  </w:abstractNum>
  <w:abstractNum w:abstractNumId="64">
    <w:nsid w:val="78DF6A55"/>
    <w:multiLevelType w:val="hybridMultilevel"/>
    <w:lvl w:ilvl="0">
      <w:lvlJc w:val="left"/>
      <w:lvlText w:val="%1."/>
      <w:numFmt w:val="decimal"/>
      <w:start w:val="1"/>
    </w:lvl>
  </w:abstractNum>
  <w:abstractNum w:abstractNumId="65">
    <w:nsid w:val="39B7AAA2"/>
    <w:multiLevelType w:val="hybridMultilevel"/>
    <w:lvl w:ilvl="0">
      <w:lvlJc w:val="left"/>
      <w:lvlText w:val="%1."/>
      <w:numFmt w:val="decimal"/>
      <w:start w:val="1"/>
    </w:lvl>
  </w:abstractNum>
  <w:abstractNum w:abstractNumId="66">
    <w:nsid w:val="2B0D8DBE"/>
    <w:multiLevelType w:val="hybridMultilevel"/>
    <w:lvl w:ilvl="0">
      <w:lvlJc w:val="left"/>
      <w:lvlText w:val="%1."/>
      <w:numFmt w:val="decimal"/>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1."/>
      <w:numFmt w:val="decimal"/>
      <w:start w:val="1"/>
    </w:lvl>
  </w:abstractNum>
  <w:abstractNum w:abstractNumId="69">
    <w:nsid w:val="69E373"/>
    <w:multiLevelType w:val="hybridMultilevel"/>
    <w:lvl w:ilvl="0">
      <w:lvlJc w:val="left"/>
      <w:lvlText w:val="%1."/>
      <w:numFmt w:val="decimal"/>
      <w:start w:val="2"/>
    </w:lvl>
  </w:abstractNum>
  <w:abstractNum w:abstractNumId="70">
    <w:nsid w:val="2C27173B"/>
    <w:multiLevelType w:val="hybridMultilevel"/>
    <w:lvl w:ilvl="0">
      <w:lvlJc w:val="left"/>
      <w:lvlText w:val="%1."/>
      <w:numFmt w:val="decimal"/>
      <w:start w:val="2"/>
    </w:lvl>
  </w:abstractNum>
  <w:abstractNum w:abstractNumId="71">
    <w:nsid w:val="4C9B0904"/>
    <w:multiLevelType w:val="hybridMultilevel"/>
    <w:lvl w:ilvl="0">
      <w:lvlJc w:val="left"/>
      <w:lvlText w:val="%1."/>
      <w:numFmt w:val="decimal"/>
      <w:start w:val="2"/>
    </w:lvl>
  </w:abstractNum>
  <w:abstractNum w:abstractNumId="72">
    <w:nsid w:val="6AA7B75C"/>
    <w:multiLevelType w:val="hybridMultilevel"/>
    <w:lvl w:ilvl="0">
      <w:lvlJc w:val="left"/>
      <w:lvlText w:val="%1."/>
      <w:numFmt w:val="decimal"/>
      <w:start w:val="2"/>
    </w:lvl>
  </w:abstractNum>
  <w:abstractNum w:abstractNumId="73">
    <w:nsid w:val="1DF029D3"/>
    <w:multiLevelType w:val="hybridMultilevel"/>
    <w:lvl w:ilvl="0">
      <w:lvlJc w:val="left"/>
      <w:lvlText w:val="%1."/>
      <w:numFmt w:val="decimal"/>
      <w:start w:val="2"/>
    </w:lvl>
  </w:abstractNum>
  <w:abstractNum w:abstractNumId="74">
    <w:nsid w:val="5675FF36"/>
    <w:multiLevelType w:val="hybridMultilevel"/>
    <w:lvl w:ilvl="0">
      <w:lvlJc w:val="left"/>
      <w:lvlText w:val="(%1)"/>
      <w:numFmt w:val="lowerLetter"/>
      <w:start w:val="1"/>
    </w:lvl>
  </w:abstractNum>
  <w:abstractNum w:abstractNumId="75">
    <w:nsid w:val="3DD15094"/>
    <w:multiLevelType w:val="hybridMultilevel"/>
    <w:lvl w:ilvl="0">
      <w:lvlJc w:val="left"/>
      <w:lvlText w:val="%1."/>
      <w:numFmt w:val="decimal"/>
      <w:start w:val="2"/>
    </w:lvl>
  </w:abstractNum>
  <w:abstractNum w:abstractNumId="76">
    <w:nsid w:val="3DB012B3"/>
    <w:multiLevelType w:val="hybridMultilevel"/>
    <w:lvl w:ilvl="0">
      <w:lvlJc w:val="left"/>
      <w:lvlText w:val="(%1)"/>
      <w:numFmt w:val="lowerLetter"/>
      <w:start w:val="2"/>
    </w:lvl>
  </w:abstractNum>
  <w:abstractNum w:abstractNumId="77">
    <w:nsid w:val="2708C9AF"/>
    <w:multiLevelType w:val="hybridMultilevel"/>
    <w:lvl w:ilvl="0">
      <w:lvlJc w:val="left"/>
      <w:lvlText w:val="%1."/>
      <w:numFmt w:val="decimal"/>
      <w:start w:val="2"/>
    </w:lvl>
  </w:abstractNum>
  <w:abstractNum w:abstractNumId="78">
    <w:nsid w:val="5B25ACE2"/>
    <w:multiLevelType w:val="hybridMultilevel"/>
    <w:lvl w:ilvl="0">
      <w:lvlJc w:val="left"/>
      <w:lvlText w:val="%1)"/>
      <w:numFmt w:val="lowerRoman"/>
      <w:start w:val="1"/>
    </w:lvl>
  </w:abstractNum>
  <w:abstractNum w:abstractNumId="79">
    <w:nsid w:val="175DFCF0"/>
    <w:multiLevelType w:val="hybridMultilevel"/>
    <w:lvl w:ilvl="0">
      <w:lvlJc w:val="left"/>
      <w:lvlText w:val="%1."/>
      <w:numFmt w:val="decimal"/>
      <w:start w:val="2"/>
    </w:lvl>
  </w:abstractNum>
  <w:abstractNum w:abstractNumId="80">
    <w:nsid w:val="4F97E3E4"/>
    <w:multiLevelType w:val="hybridMultilevel"/>
    <w:lvl w:ilvl="0">
      <w:lvlJc w:val="left"/>
      <w:lvlText w:val="%1)"/>
      <w:numFmt w:val="lowerRoman"/>
      <w:start w:val="4"/>
    </w:lvl>
  </w:abstractNum>
  <w:abstractNum w:abstractNumId="81">
    <w:nsid w:val="53B0A9E"/>
    <w:multiLevelType w:val="hybridMultilevel"/>
    <w:lvl w:ilvl="0">
      <w:lvlJc w:val="left"/>
      <w:lvlText w:val="%1."/>
      <w:numFmt w:val="decimal"/>
      <w:start w:val="2"/>
    </w:lvl>
  </w:abstractNum>
  <w:abstractNum w:abstractNumId="82">
    <w:nsid w:val="34FD6B4F"/>
    <w:multiLevelType w:val="hybridMultilevel"/>
    <w:lvl w:ilvl="0">
      <w:lvlJc w:val="left"/>
      <w:lvlText w:val="%1."/>
      <w:numFmt w:val="decimal"/>
      <w:start w:val="2"/>
    </w:lvl>
  </w:abstractNum>
  <w:abstractNum w:abstractNumId="83">
    <w:nsid w:val="5915FF32"/>
    <w:multiLevelType w:val="hybridMultilevel"/>
    <w:lvl w:ilvl="0">
      <w:lvlJc w:val="left"/>
      <w:lvlText w:val="%1."/>
      <w:numFmt w:val="decimal"/>
      <w:start w:val="2"/>
    </w:lvl>
  </w:abstractNum>
  <w:abstractNum w:abstractNumId="84">
    <w:nsid w:val="56438D15"/>
    <w:multiLevelType w:val="hybridMultilevel"/>
    <w:lvl w:ilvl="0">
      <w:lvlJc w:val="left"/>
      <w:lvlText w:val="%1."/>
      <w:numFmt w:val="decimal"/>
      <w:start w:val="2"/>
    </w:lvl>
  </w:abstractNum>
  <w:abstractNum w:abstractNumId="85">
    <w:nsid w:val="519E3149"/>
    <w:multiLevelType w:val="hybridMultilevel"/>
    <w:lvl w:ilvl="0">
      <w:lvlJc w:val="left"/>
      <w:lvlText w:val="%1."/>
      <w:numFmt w:val="decimal"/>
      <w:start w:val="4"/>
    </w:lvl>
  </w:abstractNum>
  <w:abstractNum w:abstractNumId="86">
    <w:nsid w:val="2C6E4AFD"/>
    <w:multiLevelType w:val="hybridMultilevel"/>
    <w:lvl w:ilvl="0">
      <w:lvlJc w:val="left"/>
      <w:lvlText w:val="%1."/>
      <w:numFmt w:val="decimal"/>
      <w:start w:val="5"/>
    </w:lvl>
  </w:abstractNum>
  <w:abstractNum w:abstractNumId="87">
    <w:nsid w:val="17A1B582"/>
    <w:multiLevelType w:val="hybridMultilevel"/>
    <w:lvl w:ilvl="0">
      <w:lvlJc w:val="left"/>
      <w:lvlText w:val="(%1)"/>
      <w:numFmt w:val="lowerLetter"/>
      <w:start w:val="1"/>
    </w:lvl>
  </w:abstractNum>
  <w:abstractNum w:abstractNumId="88">
    <w:nsid w:val="4DF72E4E"/>
    <w:multiLevelType w:val="hybridMultilevel"/>
    <w:lvl w:ilvl="0">
      <w:lvlJc w:val="left"/>
      <w:lvlText w:val="%1."/>
      <w:numFmt w:val="decimal"/>
      <w:start w:val="6"/>
    </w:lvl>
  </w:abstractNum>
  <w:abstractNum w:abstractNumId="89">
    <w:nsid w:val="5046B5A9"/>
    <w:multiLevelType w:val="hybridMultilevel"/>
    <w:lvl w:ilvl="0">
      <w:lvlJc w:val="left"/>
      <w:lvlText w:val="(%1)"/>
      <w:numFmt w:val="lowerLetter"/>
      <w:start w:val="6"/>
    </w:lvl>
  </w:abstractNum>
  <w:abstractNum w:abstractNumId="90">
    <w:nsid w:val="5D888A08"/>
    <w:multiLevelType w:val="hybridMultilevel"/>
    <w:lvl w:ilvl="0">
      <w:lvlJc w:val="left"/>
      <w:lvlText w:val="(%1)"/>
      <w:numFmt w:val="lowerLetter"/>
      <w:start w:val="8"/>
    </w:lvl>
  </w:abstractNum>
  <w:abstractNum w:abstractNumId="91">
    <w:nsid w:val="2A082C70"/>
    <w:multiLevelType w:val="hybridMultilevel"/>
    <w:lvl w:ilvl="0">
      <w:lvlJc w:val="left"/>
      <w:lvlText w:val="%1."/>
      <w:numFmt w:val="decimal"/>
      <w:start w:val="8"/>
    </w:lvl>
  </w:abstractNum>
  <w:abstractNum w:abstractNumId="92">
    <w:nsid w:val="5EC6AFD4"/>
    <w:multiLevelType w:val="hybridMultilevel"/>
    <w:lvl w:ilvl="0">
      <w:lvlJc w:val="left"/>
      <w:lvlText w:val="%1."/>
      <w:numFmt w:val="decimal"/>
      <w:start w:val="8"/>
    </w:lvl>
  </w:abstractNum>
  <w:abstractNum w:abstractNumId="93">
    <w:nsid w:val="19E21BB2"/>
    <w:multiLevelType w:val="hybridMultilevel"/>
    <w:lvl w:ilvl="0">
      <w:lvlJc w:val="left"/>
      <w:lvlText w:val="%1."/>
      <w:numFmt w:val="decimal"/>
      <w:start w:val="8"/>
    </w:lvl>
  </w:abstractNum>
  <w:abstractNum w:abstractNumId="94">
    <w:nsid w:val="75E0858A"/>
    <w:multiLevelType w:val="hybridMultilevel"/>
    <w:lvl w:ilvl="0">
      <w:lvlJc w:val="left"/>
      <w:lvlText w:val="%1."/>
      <w:numFmt w:val="decimal"/>
      <w:start w:val="9"/>
    </w:lvl>
  </w:abstractNum>
  <w:abstractNum w:abstractNumId="95">
    <w:nsid w:val="57A61A29"/>
    <w:multiLevelType w:val="hybridMultilevel"/>
    <w:lvl w:ilvl="0">
      <w:lvlJc w:val="left"/>
      <w:lvlText w:val="%1."/>
      <w:numFmt w:val="decimal"/>
      <w:start w:val="9"/>
    </w:lvl>
  </w:abstractNum>
  <w:abstractNum w:abstractNumId="96">
    <w:nsid w:val="5399C654"/>
    <w:multiLevelType w:val="hybridMultilevel"/>
    <w:lvl w:ilvl="0">
      <w:lvlJc w:val="left"/>
      <w:lvlText w:val="%1."/>
      <w:numFmt w:val="decimal"/>
      <w:start w:val="10"/>
    </w:lvl>
  </w:abstractNum>
  <w:abstractNum w:abstractNumId="97">
    <w:nsid w:val="20EE1348"/>
    <w:multiLevelType w:val="hybridMultilevel"/>
    <w:lvl w:ilvl="0">
      <w:lvlJc w:val="left"/>
      <w:lvlText w:val="%1."/>
      <w:numFmt w:val="decimal"/>
      <w:start w:val="11"/>
    </w:lvl>
  </w:abstractNum>
  <w:abstractNum w:abstractNumId="98">
    <w:nsid w:val="4427069A"/>
    <w:multiLevelType w:val="hybridMultilevel"/>
    <w:lvl w:ilvl="0">
      <w:lvlJc w:val="left"/>
      <w:lvlText w:val="%1."/>
      <w:numFmt w:val="decimal"/>
      <w:start w:val="11"/>
    </w:lvl>
  </w:abstractNum>
  <w:abstractNum w:abstractNumId="99">
    <w:nsid w:val="B37E80A"/>
    <w:multiLevelType w:val="hybridMultilevel"/>
    <w:lvl w:ilvl="0">
      <w:lvlJc w:val="left"/>
      <w:lvlText w:val="(%1)"/>
      <w:numFmt w:val="lowerLetter"/>
      <w:start w:val="1"/>
    </w:lvl>
  </w:abstractNum>
  <w:abstractNum w:abstractNumId="100">
    <w:nsid w:val="2157F6BC"/>
    <w:multiLevelType w:val="hybridMultilevel"/>
    <w:lvl w:ilvl="0">
      <w:lvlJc w:val="left"/>
      <w:lvlText w:val="%1."/>
      <w:numFmt w:val="decimal"/>
      <w:start w:val="12"/>
    </w:lvl>
  </w:abstractNum>
  <w:abstractNum w:abstractNumId="101">
    <w:nsid w:val="704E1DD5"/>
    <w:multiLevelType w:val="hybridMultilevel"/>
    <w:lvl w:ilvl="0">
      <w:lvlJc w:val="left"/>
      <w:lvlText w:val="%1."/>
      <w:numFmt w:val="decimal"/>
      <w:start w:val="12"/>
    </w:lvl>
  </w:abstractNum>
  <w:abstractNum w:abstractNumId="102">
    <w:nsid w:val="57D2F10E"/>
    <w:multiLevelType w:val="hybridMultilevel"/>
    <w:lvl w:ilvl="0">
      <w:lvlJc w:val="left"/>
      <w:lvlText w:val="%1."/>
      <w:numFmt w:val="decimal"/>
      <w:start w:val="12"/>
    </w:lvl>
  </w:abstractNum>
  <w:abstractNum w:abstractNumId="103">
    <w:nsid w:val="BFFAE18"/>
    <w:multiLevelType w:val="hybridMultilevel"/>
    <w:lvl w:ilvl="0">
      <w:lvlJc w:val="left"/>
      <w:lvlText w:val="%1."/>
      <w:numFmt w:val="decimal"/>
      <w:start w:val="13"/>
    </w:lvl>
  </w:abstractNum>
  <w:abstractNum w:abstractNumId="104">
    <w:nsid w:val="E3E47A8"/>
    <w:multiLevelType w:val="hybridMultilevel"/>
    <w:lvl w:ilvl="0">
      <w:lvlJc w:val="left"/>
      <w:lvlText w:val="%1."/>
      <w:numFmt w:val="decimal"/>
      <w:start w:val="1"/>
    </w:lvl>
  </w:abstractNum>
  <w:abstractNum w:abstractNumId="105">
    <w:nsid w:val="2E48F044"/>
    <w:multiLevelType w:val="hybridMultilevel"/>
    <w:lvl w:ilvl="0">
      <w:lvlJc w:val="left"/>
      <w:lvlText w:val="%1."/>
      <w:numFmt w:val="decimal"/>
      <w:start w:val="13"/>
    </w:lvl>
  </w:abstractNum>
  <w:abstractNum w:abstractNumId="106">
    <w:nsid w:val="49D0FEAC"/>
    <w:multiLevelType w:val="hybridMultilevel"/>
    <w:lvl w:ilvl="0">
      <w:lvlJc w:val="left"/>
      <w:lvlText w:val="(%1)"/>
      <w:numFmt w:val="decimal"/>
      <w:start w:val="1"/>
    </w:lvl>
  </w:abstractNum>
  <w:abstractNum w:abstractNumId="107">
    <w:nsid w:val="4BEE5A5B"/>
    <w:multiLevelType w:val="hybridMultilevel"/>
    <w:lvl w:ilvl="0">
      <w:lvlJc w:val="left"/>
      <w:lvlText w:val="%1."/>
      <w:numFmt w:val="decimal"/>
      <w:start w:val="13"/>
    </w:lvl>
  </w:abstractNum>
  <w:abstractNum w:abstractNumId="108">
    <w:nsid w:val="5551B9F3"/>
    <w:multiLevelType w:val="hybridMultilevel"/>
    <w:lvl w:ilvl="0">
      <w:lvlJc w:val="left"/>
      <w:lvlText w:val="%1."/>
      <w:numFmt w:val="decimal"/>
      <w:start w:val="13"/>
    </w:lvl>
  </w:abstractNum>
  <w:abstractNum w:abstractNumId="109">
    <w:nsid w:val="24F6AB8E"/>
    <w:multiLevelType w:val="hybridMultilevel"/>
    <w:lvl w:ilvl="0">
      <w:lvlJc w:val="left"/>
      <w:lvlText w:val="%1."/>
      <w:numFmt w:val="decimal"/>
      <w:start w:val="14"/>
    </w:lvl>
  </w:abstractNum>
  <w:abstractNum w:abstractNumId="110">
    <w:nsid w:val="634C574C"/>
    <w:multiLevelType w:val="hybridMultilevel"/>
    <w:lvl w:ilvl="0">
      <w:lvlJc w:val="left"/>
      <w:lvlText w:val="%1."/>
      <w:numFmt w:val="decimal"/>
      <w:start w:val="16"/>
    </w:lvl>
  </w:abstractNum>
  <w:abstractNum w:abstractNumId="111">
    <w:nsid w:val="24E99DD7"/>
    <w:multiLevelType w:val="hybridMultilevel"/>
    <w:lvl w:ilvl="0">
      <w:lvlJc w:val="left"/>
      <w:lvlText w:val="(%1)"/>
      <w:numFmt w:val="decimal"/>
      <w:start w:val="1"/>
    </w:lvl>
  </w:abstractNum>
  <w:abstractNum w:abstractNumId="112">
    <w:nsid w:val="2A31B62D"/>
    <w:multiLevelType w:val="hybridMultilevel"/>
    <w:lvl w:ilvl="0">
      <w:lvlJc w:val="left"/>
      <w:lvlText w:val="(%1)"/>
      <w:numFmt w:val="decimal"/>
      <w:start w:val="3"/>
    </w:lvl>
  </w:abstractNum>
  <w:abstractNum w:abstractNumId="113">
    <w:nsid w:val="1849C29B"/>
    <w:multiLevelType w:val="hybridMultilevel"/>
    <w:lvl w:ilvl="0">
      <w:lvlJc w:val="left"/>
      <w:lvlText w:val="%1."/>
      <w:numFmt w:val="decimal"/>
      <w:start w:val="16"/>
    </w:lvl>
  </w:abstractNum>
  <w:abstractNum w:abstractNumId="114">
    <w:nsid w:val="7DFF9D09"/>
    <w:multiLevelType w:val="hybridMultilevel"/>
    <w:lvl w:ilvl="0">
      <w:lvlJc w:val="left"/>
      <w:lvlText w:val="(%1)"/>
      <w:numFmt w:val="decimal"/>
      <w:start w:val="4"/>
    </w:lvl>
  </w:abstractNum>
  <w:abstractNum w:abstractNumId="115">
    <w:nsid w:val="754342"/>
    <w:multiLevelType w:val="hybridMultilevel"/>
    <w:lvl w:ilvl="0">
      <w:lvlJc w:val="left"/>
      <w:lvlText w:val="%1."/>
      <w:numFmt w:val="decimal"/>
      <w:start w:val="16"/>
    </w:lvl>
  </w:abstractNum>
  <w:abstractNum w:abstractNumId="116">
    <w:nsid w:val="69E7F3E5"/>
    <w:multiLevelType w:val="hybridMultilevel"/>
    <w:lvl w:ilvl="0">
      <w:lvlJc w:val="left"/>
      <w:lvlText w:val="(%1)"/>
      <w:numFmt w:val="decimal"/>
      <w:start w:val="8"/>
    </w:lvl>
  </w:abstractNum>
  <w:abstractNum w:abstractNumId="117">
    <w:nsid w:val="2A6DE806"/>
    <w:multiLevelType w:val="hybridMultilevel"/>
    <w:lvl w:ilvl="0">
      <w:lvlJc w:val="left"/>
      <w:lvlText w:val="%1."/>
      <w:numFmt w:val="decimal"/>
      <w:start w:val="17"/>
    </w:lvl>
  </w:abstractNum>
  <w:abstractNum w:abstractNumId="118">
    <w:nsid w:val="1816F8C4"/>
    <w:multiLevelType w:val="hybridMultilevel"/>
    <w:lvl w:ilvl="0">
      <w:lvlJc w:val="left"/>
      <w:lvlText w:val="%1."/>
      <w:numFmt w:val="decimal"/>
      <w:start w:val="18"/>
    </w:lvl>
  </w:abstractNum>
  <w:abstractNum w:abstractNumId="119">
    <w:nsid w:val="37DF2233"/>
    <w:multiLevelType w:val="hybridMultilevel"/>
    <w:lvl w:ilvl="0">
      <w:lvlJc w:val="left"/>
      <w:lvlText w:val="%1."/>
      <w:numFmt w:val="decimal"/>
      <w:start w:val="19"/>
    </w:lvl>
  </w:abstractNum>
  <w:abstractNum w:abstractNumId="120">
    <w:nsid w:val="7AB49DAF"/>
    <w:multiLevelType w:val="hybridMultilevel"/>
    <w:lvl w:ilvl="0">
      <w:lvlJc w:val="left"/>
      <w:lvlText w:val="%1."/>
      <w:numFmt w:val="decimal"/>
      <w:start w:val="20"/>
    </w:lvl>
  </w:abstractNum>
  <w:abstractNum w:abstractNumId="121">
    <w:nsid w:val="759F82CD"/>
    <w:multiLevelType w:val="hybridMultilevel"/>
    <w:lvl w:ilvl="0">
      <w:lvlJc w:val="left"/>
      <w:lvlText w:val="%1."/>
      <w:numFmt w:val="decimal"/>
      <w:start w:val="21"/>
    </w:lvl>
  </w:abstractNum>
  <w:abstractNum w:abstractNumId="122">
    <w:nsid w:val="61E74EA3"/>
    <w:multiLevelType w:val="hybridMultilevel"/>
    <w:lvl w:ilvl="0">
      <w:lvlJc w:val="left"/>
      <w:lvlText w:val="%1."/>
      <w:numFmt w:val="decimal"/>
      <w:start w:val="22"/>
    </w:lvl>
  </w:abstractNum>
  <w:abstractNum w:abstractNumId="123">
    <w:nsid w:val="597B4D84"/>
    <w:multiLevelType w:val="hybridMultilevel"/>
    <w:lvl w:ilvl="0">
      <w:lvlJc w:val="left"/>
      <w:lvlText w:val="%1."/>
      <w:numFmt w:val="decimal"/>
      <w:start w:val="23"/>
    </w:lvl>
  </w:abstractNum>
  <w:abstractNum w:abstractNumId="124">
    <w:nsid w:val="F819E7F"/>
    <w:multiLevelType w:val="hybridMultilevel"/>
    <w:lvl w:ilvl="0">
      <w:lvlJc w:val="left"/>
      <w:lvlText w:val="%1."/>
      <w:numFmt w:val="decimal"/>
      <w:start w:val="24"/>
    </w:lvl>
  </w:abstractNum>
  <w:abstractNum w:abstractNumId="125">
    <w:nsid w:val="57C7D42D"/>
    <w:multiLevelType w:val="hybridMultilevel"/>
    <w:lvl w:ilvl="0">
      <w:lvlJc w:val="left"/>
      <w:lvlText w:val="(%1)"/>
      <w:numFmt w:val="decimal"/>
      <w:start w:val="1"/>
    </w:lvl>
  </w:abstractNum>
  <w:abstractNum w:abstractNumId="126">
    <w:nsid w:val="312167AD"/>
    <w:multiLevelType w:val="hybridMultilevel"/>
    <w:lvl w:ilvl="0">
      <w:lvlJc w:val="left"/>
      <w:lvlText w:val="%1."/>
      <w:numFmt w:val="decimal"/>
      <w:start w:val="1"/>
    </w:lvl>
  </w:abstractNum>
  <w:abstractNum w:abstractNumId="127">
    <w:nsid w:val="631B64D4"/>
    <w:multiLevelType w:val="hybridMultilevel"/>
    <w:lvl w:ilvl="0">
      <w:lvlJc w:val="left"/>
      <w:lvlText w:val="%1."/>
      <w:numFmt w:val="decimal"/>
      <w:start w:val="2"/>
    </w:lvl>
  </w:abstractNum>
  <w:abstractNum w:abstractNumId="128">
    <w:nsid w:val="78B5E776"/>
    <w:multiLevelType w:val="hybridMultilevel"/>
    <w:lvl w:ilvl="0">
      <w:lvlJc w:val="left"/>
      <w:lvlText w:val="%1."/>
      <w:numFmt w:val="decimal"/>
      <w:start w:val="3"/>
    </w:lvl>
  </w:abstractNum>
  <w:abstractNum w:abstractNumId="129">
    <w:nsid w:val="75486E47"/>
    <w:multiLevelType w:val="hybridMultilevel"/>
    <w:lvl w:ilvl="0">
      <w:lvlJc w:val="left"/>
      <w:lvlText w:val="%1."/>
      <w:numFmt w:val="decimal"/>
      <w:start w:val="4"/>
    </w:lvl>
  </w:abstractNum>
  <w:abstractNum w:abstractNumId="130">
    <w:nsid w:val="6E534CDE"/>
    <w:multiLevelType w:val="hybridMultilevel"/>
    <w:lvl w:ilvl="0">
      <w:lvlJc w:val="left"/>
      <w:lvlText w:val="%1."/>
      <w:numFmt w:val="decimal"/>
      <w:start w:val="5"/>
    </w:lvl>
  </w:abstractNum>
  <w:abstractNum w:abstractNumId="131">
    <w:nsid w:val="1A0DDE32"/>
    <w:multiLevelType w:val="hybridMultilevel"/>
    <w:lvl w:ilvl="0">
      <w:lvlJc w:val="left"/>
      <w:lvlText w:val="%1."/>
      <w:numFmt w:val="decimal"/>
      <w:start w:val="6"/>
    </w:lvl>
  </w:abstractNum>
  <w:abstractNum w:abstractNumId="132">
    <w:nsid w:val="65968C1C"/>
    <w:multiLevelType w:val="hybridMultilevel"/>
    <w:lvl w:ilvl="0">
      <w:lvlJc w:val="left"/>
      <w:lvlText w:val="%1."/>
      <w:numFmt w:val="decimal"/>
      <w:start w:val="7"/>
    </w:lvl>
  </w:abstractNum>
  <w:abstractNum w:abstractNumId="133">
    <w:nsid w:val="46263DEC"/>
    <w:multiLevelType w:val="hybridMultilevel"/>
    <w:lvl w:ilvl="0">
      <w:lvlJc w:val="left"/>
      <w:lvlText w:val="%1."/>
      <w:numFmt w:val="decimal"/>
      <w:start w:val="8"/>
    </w:lvl>
  </w:abstractNum>
  <w:abstractNum w:abstractNumId="134">
    <w:nsid w:val="260D8C4A"/>
    <w:multiLevelType w:val="hybridMultilevel"/>
    <w:lvl w:ilvl="0">
      <w:lvlJc w:val="left"/>
      <w:lvlText w:val="%1."/>
      <w:numFmt w:val="decimal"/>
      <w:start w:val="9"/>
    </w:lvl>
  </w:abstractNum>
  <w:abstractNum w:abstractNumId="135">
    <w:nsid w:val="73D4D3C4"/>
    <w:multiLevelType w:val="hybridMultilevel"/>
    <w:lvl w:ilvl="0">
      <w:lvlJc w:val="left"/>
      <w:lvlText w:val="%1."/>
      <w:numFmt w:val="decimal"/>
      <w:start w:val="10"/>
    </w:lvl>
  </w:abstractNum>
  <w:abstractNum w:abstractNumId="136">
    <w:nsid w:val="746F2E30"/>
    <w:multiLevelType w:val="hybridMultilevel"/>
    <w:lvl w:ilvl="0">
      <w:lvlJc w:val="left"/>
      <w:lvlText w:val="%1."/>
      <w:numFmt w:val="decimal"/>
      <w:start w:val="11"/>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decimal"/>
      <w:start w:val="1"/>
    </w:lvl>
  </w:abstractNum>
  <w:abstractNum w:abstractNumId="139">
    <w:nsid w:val="49C0E823"/>
    <w:multiLevelType w:val="hybridMultilevel"/>
    <w:lvl w:ilvl="0">
      <w:lvlJc w:val="left"/>
      <w:lvlText w:val="%1."/>
      <w:numFmt w:val="decimal"/>
      <w:start w:val="1"/>
    </w:lvl>
  </w:abstractNum>
  <w:abstractNum w:abstractNumId="140">
    <w:nsid w:val="14D53685"/>
    <w:multiLevelType w:val="hybridMultilevel"/>
    <w:lvl w:ilvl="0">
      <w:lvlJc w:val="left"/>
      <w:lvlText w:val="%1."/>
      <w:numFmt w:val="decimal"/>
      <w:start w:val="1"/>
    </w:lvl>
  </w:abstractNum>
  <w:abstractNum w:abstractNumId="141">
    <w:nsid w:val="230F856C"/>
    <w:multiLevelType w:val="hybridMultilevel"/>
    <w:lvl w:ilvl="0">
      <w:lvlJc w:val="left"/>
      <w:lvlText w:val="%1."/>
      <w:numFmt w:val="decimal"/>
      <w:start w:val="2"/>
    </w:lvl>
  </w:abstractNum>
  <w:abstractNum w:abstractNumId="142">
    <w:nsid w:val="6EAA85FB"/>
    <w:multiLevelType w:val="hybridMultilevel"/>
    <w:lvl w:ilvl="0">
      <w:lvlJc w:val="left"/>
      <w:lvlText w:val="%1."/>
      <w:numFmt w:val="decimal"/>
      <w:start w:val="3"/>
    </w:lvl>
  </w:abstractNum>
  <w:abstractNum w:abstractNumId="143">
    <w:nsid w:val="3F06ECB2"/>
    <w:multiLevelType w:val="hybridMultilevel"/>
    <w:lvl w:ilvl="0">
      <w:lvlJc w:val="left"/>
      <w:lvlText w:val="%1."/>
      <w:numFmt w:val="decimal"/>
      <w:start w:val="4"/>
    </w:lvl>
  </w:abstractNum>
  <w:abstractNum w:abstractNumId="144">
    <w:nsid w:val="3B594807"/>
    <w:multiLevelType w:val="hybridMultilevel"/>
    <w:lvl w:ilvl="0">
      <w:lvlJc w:val="left"/>
      <w:lvlText w:val="%1."/>
      <w:numFmt w:val="decimal"/>
      <w:start w:val="5"/>
    </w:lvl>
  </w:abstractNum>
  <w:abstractNum w:abstractNumId="145">
    <w:nsid w:val="6CAA2304"/>
    <w:multiLevelType w:val="hybridMultilevel"/>
    <w:lvl w:ilvl="0">
      <w:lvlJc w:val="left"/>
      <w:lvlText w:val="%1."/>
      <w:numFmt w:val="decimal"/>
      <w:start w:val="6"/>
    </w:lvl>
  </w:abstractNum>
  <w:abstractNum w:abstractNumId="146">
    <w:nsid w:val="3F7C2FF4"/>
    <w:multiLevelType w:val="hybridMultilevel"/>
    <w:lvl w:ilvl="0">
      <w:lvlJc w:val="left"/>
      <w:lvlText w:val="%1."/>
      <w:numFmt w:val="decimal"/>
      <w:start w:val="7"/>
    </w:lvl>
  </w:abstractNum>
  <w:abstractNum w:abstractNumId="147">
    <w:nsid w:val="25413BEC"/>
    <w:multiLevelType w:val="hybridMultilevel"/>
    <w:lvl w:ilvl="0">
      <w:lvlJc w:val="left"/>
      <w:lvlText w:val="%1."/>
      <w:numFmt w:val="decimal"/>
      <w:start w:val="8"/>
    </w:lvl>
  </w:abstractNum>
  <w:abstractNum w:abstractNumId="148">
    <w:nsid w:val="17180B0B"/>
    <w:multiLevelType w:val="hybridMultilevel"/>
    <w:lvl w:ilvl="0">
      <w:lvlJc w:val="left"/>
      <w:lvlText w:val="%1."/>
      <w:numFmt w:val="decimal"/>
      <w:start w:val="9"/>
    </w:lvl>
  </w:abstractNum>
  <w:abstractNum w:abstractNumId="149">
    <w:nsid w:val="579328B9"/>
    <w:multiLevelType w:val="hybridMultilevel"/>
    <w:lvl w:ilvl="0">
      <w:lvlJc w:val="left"/>
      <w:lvlText w:val="%1."/>
      <w:numFmt w:val="decimal"/>
      <w:start w:val="10"/>
    </w:lvl>
  </w:abstractNum>
  <w:abstractNum w:abstractNumId="150">
    <w:nsid w:val="5D205E20"/>
    <w:multiLevelType w:val="hybridMultilevel"/>
    <w:lvl w:ilvl="0">
      <w:lvlJc w:val="left"/>
      <w:lvlText w:val="%1."/>
      <w:numFmt w:val="decimal"/>
      <w:start w:val="11"/>
    </w:lvl>
  </w:abstractNum>
  <w:abstractNum w:abstractNumId="151">
    <w:nsid w:val="11CCA8BA"/>
    <w:multiLevelType w:val="hybridMultilevel"/>
    <w:lvl w:ilvl="0">
      <w:lvlJc w:val="left"/>
      <w:lvlText w:val="%1."/>
      <w:numFmt w:val="decimal"/>
      <w:start w:val="12"/>
    </w:lvl>
  </w:abstractNum>
  <w:abstractNum w:abstractNumId="152">
    <w:nsid w:val="4D32AB86"/>
    <w:multiLevelType w:val="hybridMultilevel"/>
    <w:lvl w:ilvl="0">
      <w:lvlJc w:val="left"/>
      <w:lvlText w:val="%1"/>
      <w:numFmt w:val="decimal"/>
      <w:start w:val="1"/>
    </w:lvl>
    <w:lvl w:ilvl="1">
      <w:lvlJc w:val="left"/>
      <w:lvlText w:val="%2."/>
      <w:numFmt w:val="decimal"/>
      <w:start w:val="12"/>
    </w:lvl>
  </w:abstractNum>
  <w:abstractNum w:abstractNumId="153">
    <w:nsid w:val="3F07ACC3"/>
    <w:multiLevelType w:val="hybridMultilevel"/>
    <w:lvl w:ilvl="0">
      <w:lvlJc w:val="left"/>
      <w:lvlText w:val="%1."/>
      <w:numFmt w:val="decimal"/>
      <w:start w:val="13"/>
    </w:lvl>
    <w:lvl w:ilvl="1">
      <w:lvlJc w:val="left"/>
      <w:lvlText w:val="%2"/>
      <w:numFmt w:val="decimal"/>
      <w:start w:val="1"/>
    </w:lvl>
  </w:abstractNum>
  <w:abstractNum w:abstractNumId="154">
    <w:nsid w:val="6B47F63E"/>
    <w:multiLevelType w:val="hybridMultilevel"/>
    <w:lvl w:ilvl="0">
      <w:lvlJc w:val="left"/>
      <w:lvlText w:val="%1."/>
      <w:numFmt w:val="decimal"/>
      <w:start w:val="14"/>
    </w:lvl>
  </w:abstractNum>
  <w:abstractNum w:abstractNumId="155">
    <w:nsid w:val="5CB44A05"/>
    <w:multiLevelType w:val="hybridMultilevel"/>
    <w:lvl w:ilvl="0">
      <w:lvlJc w:val="left"/>
      <w:lvlText w:val="%1."/>
      <w:numFmt w:val="decimal"/>
      <w:start w:val="15"/>
    </w:lvl>
  </w:abstractNum>
  <w:abstractNum w:abstractNumId="156">
    <w:nsid w:val="16CF80F1"/>
    <w:multiLevelType w:val="hybridMultilevel"/>
    <w:lvl w:ilvl="0">
      <w:lvlJc w:val="left"/>
      <w:lvlText w:val="%1."/>
      <w:numFmt w:val="decimal"/>
      <w:start w:val="16"/>
    </w:lvl>
  </w:abstractNum>
  <w:abstractNum w:abstractNumId="157">
    <w:nsid w:val="1C695DEC"/>
    <w:multiLevelType w:val="hybridMultilevel"/>
    <w:lvl w:ilvl="0">
      <w:lvlJc w:val="left"/>
      <w:lvlText w:val="%1."/>
      <w:numFmt w:val="decimal"/>
      <w:start w:val="17"/>
    </w:lvl>
  </w:abstractNum>
  <w:abstractNum w:abstractNumId="158">
    <w:nsid w:val="3FCFAED9"/>
    <w:multiLevelType w:val="hybridMultilevel"/>
    <w:lvl w:ilvl="0">
      <w:lvlJc w:val="left"/>
      <w:lvlText w:val="%1."/>
      <w:numFmt w:val="decimal"/>
      <w:start w:val="2"/>
    </w:lvl>
  </w:abstractNum>
  <w:abstractNum w:abstractNumId="159">
    <w:nsid w:val="F856867"/>
    <w:multiLevelType w:val="hybridMultilevel"/>
    <w:lvl w:ilvl="0">
      <w:lvlJc w:val="left"/>
      <w:lvlText w:val="%1."/>
      <w:numFmt w:val="decimal"/>
      <w:start w:val="8"/>
    </w:lvl>
  </w:abstractNum>
  <w:abstractNum w:abstractNumId="160">
    <w:nsid w:val="11B1CC33"/>
    <w:multiLevelType w:val="hybridMultilevel"/>
    <w:lvl w:ilvl="0">
      <w:lvlJc w:val="left"/>
      <w:lvlText w:val="(%1)"/>
      <w:numFmt w:val="decimal"/>
      <w:start w:val="1"/>
    </w:lvl>
  </w:abstractNum>
  <w:abstractNum w:abstractNumId="161">
    <w:nsid w:val="2E22FBB7"/>
    <w:multiLevelType w:val="hybridMultilevel"/>
    <w:lvl w:ilvl="0">
      <w:lvlJc w:val="left"/>
      <w:lvlText w:val="1"/>
      <w:numFmt w:val="bullet"/>
      <w:start w:val="1"/>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6"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4"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pn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png"/><Relationship Id="rId537"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543" Type="http://schemas.openxmlformats.org/officeDocument/2006/relationships/image" Target="media/image514.pn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png"/><Relationship Id="rId553" Type="http://schemas.openxmlformats.org/officeDocument/2006/relationships/image" Target="media/image524.pn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png"/><Relationship Id="rId563" Type="http://schemas.openxmlformats.org/officeDocument/2006/relationships/image" Target="media/image534.png"/><Relationship Id="rId564" Type="http://schemas.openxmlformats.org/officeDocument/2006/relationships/image" Target="media/image535.png"/><Relationship Id="rId565" Type="http://schemas.openxmlformats.org/officeDocument/2006/relationships/image" Target="media/image536.png"/><Relationship Id="rId566" Type="http://schemas.openxmlformats.org/officeDocument/2006/relationships/image" Target="media/image537.png"/><Relationship Id="rId567" Type="http://schemas.openxmlformats.org/officeDocument/2006/relationships/image" Target="media/image538.png"/><Relationship Id="rId568" Type="http://schemas.openxmlformats.org/officeDocument/2006/relationships/image" Target="media/image539.png"/><Relationship Id="rId569" Type="http://schemas.openxmlformats.org/officeDocument/2006/relationships/image" Target="media/image540.png"/><Relationship Id="rId570" Type="http://schemas.openxmlformats.org/officeDocument/2006/relationships/image" Target="media/image541.png"/><Relationship Id="rId571" Type="http://schemas.openxmlformats.org/officeDocument/2006/relationships/image" Target="media/image542.png"/><Relationship Id="rId572" Type="http://schemas.openxmlformats.org/officeDocument/2006/relationships/image" Target="media/image543.png"/><Relationship Id="rId573" Type="http://schemas.openxmlformats.org/officeDocument/2006/relationships/image" Target="media/image544.png"/><Relationship Id="rId574" Type="http://schemas.openxmlformats.org/officeDocument/2006/relationships/image" Target="media/image545.png"/><Relationship Id="rId575" Type="http://schemas.openxmlformats.org/officeDocument/2006/relationships/image" Target="media/image546.png"/><Relationship Id="rId576" Type="http://schemas.openxmlformats.org/officeDocument/2006/relationships/image" Target="media/image547.png"/><Relationship Id="rId577" Type="http://schemas.openxmlformats.org/officeDocument/2006/relationships/image" Target="media/image548.png"/><Relationship Id="rId578" Type="http://schemas.openxmlformats.org/officeDocument/2006/relationships/image" Target="media/image549.png"/><Relationship Id="rId579" Type="http://schemas.openxmlformats.org/officeDocument/2006/relationships/image" Target="media/image550.png"/><Relationship Id="rId580" Type="http://schemas.openxmlformats.org/officeDocument/2006/relationships/image" Target="media/image551.png"/><Relationship Id="rId581" Type="http://schemas.openxmlformats.org/officeDocument/2006/relationships/image" Target="media/image552.png"/><Relationship Id="rId582" Type="http://schemas.openxmlformats.org/officeDocument/2006/relationships/image" Target="media/image553.png"/><Relationship Id="rId583" Type="http://schemas.openxmlformats.org/officeDocument/2006/relationships/image" Target="media/image554.png"/><Relationship Id="rId584" Type="http://schemas.openxmlformats.org/officeDocument/2006/relationships/image" Target="media/image555.png"/><Relationship Id="rId585" Type="http://schemas.openxmlformats.org/officeDocument/2006/relationships/image" Target="media/image556.png"/><Relationship Id="rId586" Type="http://schemas.openxmlformats.org/officeDocument/2006/relationships/image" Target="media/image557.png"/><Relationship Id="rId587" Type="http://schemas.openxmlformats.org/officeDocument/2006/relationships/image" Target="media/image558.png"/><Relationship Id="rId588" Type="http://schemas.openxmlformats.org/officeDocument/2006/relationships/image" Target="media/image559.png"/><Relationship Id="rId589" Type="http://schemas.openxmlformats.org/officeDocument/2006/relationships/image" Target="media/image560.png"/><Relationship Id="rId590" Type="http://schemas.openxmlformats.org/officeDocument/2006/relationships/image" Target="media/image561.png"/><Relationship Id="rId591" Type="http://schemas.openxmlformats.org/officeDocument/2006/relationships/image" Target="media/image562.png"/><Relationship Id="rId592" Type="http://schemas.openxmlformats.org/officeDocument/2006/relationships/image" Target="media/image563.png"/><Relationship Id="rId593" Type="http://schemas.openxmlformats.org/officeDocument/2006/relationships/image" Target="media/image564.png"/><Relationship Id="rId594" Type="http://schemas.openxmlformats.org/officeDocument/2006/relationships/image" Target="media/image565.png"/><Relationship Id="rId595" Type="http://schemas.openxmlformats.org/officeDocument/2006/relationships/image" Target="media/image566.png"/><Relationship Id="rId596" Type="http://schemas.openxmlformats.org/officeDocument/2006/relationships/image" Target="media/image567.png"/><Relationship Id="rId597" Type="http://schemas.openxmlformats.org/officeDocument/2006/relationships/image" Target="media/image568.png"/><Relationship Id="rId598" Type="http://schemas.openxmlformats.org/officeDocument/2006/relationships/image" Target="media/image569.png"/><Relationship Id="rId599" Type="http://schemas.openxmlformats.org/officeDocument/2006/relationships/image" Target="media/image570.png"/><Relationship Id="rId600" Type="http://schemas.openxmlformats.org/officeDocument/2006/relationships/image" Target="media/image571.png"/><Relationship Id="rId601" Type="http://schemas.openxmlformats.org/officeDocument/2006/relationships/image" Target="media/image572.png"/><Relationship Id="rId602" Type="http://schemas.openxmlformats.org/officeDocument/2006/relationships/image" Target="media/image573.png"/><Relationship Id="rId603" Type="http://schemas.openxmlformats.org/officeDocument/2006/relationships/image" Target="media/image574.png"/><Relationship Id="rId604" Type="http://schemas.openxmlformats.org/officeDocument/2006/relationships/image" Target="media/image575.png"/><Relationship Id="rId605" Type="http://schemas.openxmlformats.org/officeDocument/2006/relationships/image" Target="media/image576.png"/><Relationship Id="rId606" Type="http://schemas.openxmlformats.org/officeDocument/2006/relationships/image" Target="media/image577.png"/><Relationship Id="rId607" Type="http://schemas.openxmlformats.org/officeDocument/2006/relationships/image" Target="media/image578.png"/><Relationship Id="rId608" Type="http://schemas.openxmlformats.org/officeDocument/2006/relationships/image" Target="media/image579.png"/><Relationship Id="rId609" Type="http://schemas.openxmlformats.org/officeDocument/2006/relationships/image" Target="media/image580.png"/><Relationship Id="rId610" Type="http://schemas.openxmlformats.org/officeDocument/2006/relationships/image" Target="media/image581.png"/><Relationship Id="rId611" Type="http://schemas.openxmlformats.org/officeDocument/2006/relationships/image" Target="media/image582.png"/><Relationship Id="rId612" Type="http://schemas.openxmlformats.org/officeDocument/2006/relationships/image" Target="media/image583.png"/><Relationship Id="rId613" Type="http://schemas.openxmlformats.org/officeDocument/2006/relationships/image" Target="media/image584.png"/><Relationship Id="rId614" Type="http://schemas.openxmlformats.org/officeDocument/2006/relationships/image" Target="media/image585.png"/><Relationship Id="rId615" Type="http://schemas.openxmlformats.org/officeDocument/2006/relationships/image" Target="media/image586.png"/><Relationship Id="rId616" Type="http://schemas.openxmlformats.org/officeDocument/2006/relationships/image" Target="media/image587.png"/><Relationship Id="rId617" Type="http://schemas.openxmlformats.org/officeDocument/2006/relationships/image" Target="media/image588.png"/><Relationship Id="rId618" Type="http://schemas.openxmlformats.org/officeDocument/2006/relationships/image" Target="media/image589.png"/><Relationship Id="rId619" Type="http://schemas.openxmlformats.org/officeDocument/2006/relationships/image" Target="media/image590.png"/><Relationship Id="rId620" Type="http://schemas.openxmlformats.org/officeDocument/2006/relationships/image" Target="media/image591.png"/><Relationship Id="rId621" Type="http://schemas.openxmlformats.org/officeDocument/2006/relationships/image" Target="media/image592.png"/><Relationship Id="rId622" Type="http://schemas.openxmlformats.org/officeDocument/2006/relationships/image" Target="media/image593.png"/><Relationship Id="rId623" Type="http://schemas.openxmlformats.org/officeDocument/2006/relationships/image" Target="media/image594.png"/><Relationship Id="rId624" Type="http://schemas.openxmlformats.org/officeDocument/2006/relationships/image" Target="media/image595.png"/><Relationship Id="rId625" Type="http://schemas.openxmlformats.org/officeDocument/2006/relationships/image" Target="media/image596.png"/><Relationship Id="rId626" Type="http://schemas.openxmlformats.org/officeDocument/2006/relationships/image" Target="media/image597.png"/><Relationship Id="rId627" Type="http://schemas.openxmlformats.org/officeDocument/2006/relationships/image" Target="media/image598.png"/><Relationship Id="rId628" Type="http://schemas.openxmlformats.org/officeDocument/2006/relationships/image" Target="media/image599.png"/><Relationship Id="rId629" Type="http://schemas.openxmlformats.org/officeDocument/2006/relationships/image" Target="media/image600.png"/><Relationship Id="rId630" Type="http://schemas.openxmlformats.org/officeDocument/2006/relationships/image" Target="media/image601.png"/><Relationship Id="rId631" Type="http://schemas.openxmlformats.org/officeDocument/2006/relationships/image" Target="media/image602.png"/><Relationship Id="rId632" Type="http://schemas.openxmlformats.org/officeDocument/2006/relationships/image" Target="media/image603.png"/><Relationship Id="rId633" Type="http://schemas.openxmlformats.org/officeDocument/2006/relationships/image" Target="media/image604.png"/><Relationship Id="rId634" Type="http://schemas.openxmlformats.org/officeDocument/2006/relationships/image" Target="media/image605.png"/><Relationship Id="rId635" Type="http://schemas.openxmlformats.org/officeDocument/2006/relationships/image" Target="media/image606.png"/><Relationship Id="rId636" Type="http://schemas.openxmlformats.org/officeDocument/2006/relationships/image" Target="media/image607.png"/><Relationship Id="rId637" Type="http://schemas.openxmlformats.org/officeDocument/2006/relationships/image" Target="media/image608.png"/><Relationship Id="rId638" Type="http://schemas.openxmlformats.org/officeDocument/2006/relationships/image" Target="media/image609.png"/><Relationship Id="rId639" Type="http://schemas.openxmlformats.org/officeDocument/2006/relationships/image" Target="media/image610.png"/><Relationship Id="rId640" Type="http://schemas.openxmlformats.org/officeDocument/2006/relationships/image" Target="media/image611.png"/><Relationship Id="rId641" Type="http://schemas.openxmlformats.org/officeDocument/2006/relationships/image" Target="media/image612.png"/><Relationship Id="rId642" Type="http://schemas.openxmlformats.org/officeDocument/2006/relationships/image" Target="media/image613.png"/><Relationship Id="rId643" Type="http://schemas.openxmlformats.org/officeDocument/2006/relationships/image" Target="media/image614.png"/><Relationship Id="rId644" Type="http://schemas.openxmlformats.org/officeDocument/2006/relationships/image" Target="media/image615.png"/><Relationship Id="rId645" Type="http://schemas.openxmlformats.org/officeDocument/2006/relationships/image" Target="media/image616.png"/><Relationship Id="rId646" Type="http://schemas.openxmlformats.org/officeDocument/2006/relationships/image" Target="media/image617.png"/><Relationship Id="rId647" Type="http://schemas.openxmlformats.org/officeDocument/2006/relationships/image" Target="media/image618.png"/><Relationship Id="rId648" Type="http://schemas.openxmlformats.org/officeDocument/2006/relationships/image" Target="media/image619.png"/><Relationship Id="rId649" Type="http://schemas.openxmlformats.org/officeDocument/2006/relationships/image" Target="media/image620.png"/><Relationship Id="rId650" Type="http://schemas.openxmlformats.org/officeDocument/2006/relationships/image" Target="media/image621.png"/><Relationship Id="rId651" Type="http://schemas.openxmlformats.org/officeDocument/2006/relationships/image" Target="media/image622.png"/><Relationship Id="rId652" Type="http://schemas.openxmlformats.org/officeDocument/2006/relationships/image" Target="media/image623.png"/><Relationship Id="rId653" Type="http://schemas.openxmlformats.org/officeDocument/2006/relationships/image" Target="media/image624.png"/><Relationship Id="rId654" Type="http://schemas.openxmlformats.org/officeDocument/2006/relationships/image" Target="media/image625.png"/><Relationship Id="rId655" Type="http://schemas.openxmlformats.org/officeDocument/2006/relationships/image" Target="media/image626.png"/><Relationship Id="rId656" Type="http://schemas.openxmlformats.org/officeDocument/2006/relationships/image" Target="media/image627.png"/><Relationship Id="rId657" Type="http://schemas.openxmlformats.org/officeDocument/2006/relationships/image" Target="media/image628.png"/><Relationship Id="rId658" Type="http://schemas.openxmlformats.org/officeDocument/2006/relationships/image" Target="media/image629.png"/><Relationship Id="rId659" Type="http://schemas.openxmlformats.org/officeDocument/2006/relationships/image" Target="media/image630.png"/><Relationship Id="rId660" Type="http://schemas.openxmlformats.org/officeDocument/2006/relationships/image" Target="media/image631.png"/><Relationship Id="rId661" Type="http://schemas.openxmlformats.org/officeDocument/2006/relationships/image" Target="media/image632.png"/><Relationship Id="rId662" Type="http://schemas.openxmlformats.org/officeDocument/2006/relationships/image" Target="media/image633.png"/><Relationship Id="rId663" Type="http://schemas.openxmlformats.org/officeDocument/2006/relationships/image" Target="media/image634.png"/><Relationship Id="rId664" Type="http://schemas.openxmlformats.org/officeDocument/2006/relationships/image" Target="media/image635.png"/><Relationship Id="rId665" Type="http://schemas.openxmlformats.org/officeDocument/2006/relationships/image" Target="media/image636.png"/><Relationship Id="rId666" Type="http://schemas.openxmlformats.org/officeDocument/2006/relationships/image" Target="media/image637.png"/><Relationship Id="rId667" Type="http://schemas.openxmlformats.org/officeDocument/2006/relationships/image" Target="media/image638.png"/><Relationship Id="rId668" Type="http://schemas.openxmlformats.org/officeDocument/2006/relationships/image" Target="media/image639.png"/><Relationship Id="rId669" Type="http://schemas.openxmlformats.org/officeDocument/2006/relationships/image" Target="media/image640.png"/><Relationship Id="rId670" Type="http://schemas.openxmlformats.org/officeDocument/2006/relationships/image" Target="media/image641.png"/><Relationship Id="rId671" Type="http://schemas.openxmlformats.org/officeDocument/2006/relationships/image" Target="media/image642.png"/><Relationship Id="rId672" Type="http://schemas.openxmlformats.org/officeDocument/2006/relationships/image" Target="media/image643.png"/><Relationship Id="rId673" Type="http://schemas.openxmlformats.org/officeDocument/2006/relationships/image" Target="media/image644.png"/><Relationship Id="rId674" Type="http://schemas.openxmlformats.org/officeDocument/2006/relationships/image" Target="media/image645.png"/><Relationship Id="rId675" Type="http://schemas.openxmlformats.org/officeDocument/2006/relationships/image" Target="media/image646.png"/><Relationship Id="rId676" Type="http://schemas.openxmlformats.org/officeDocument/2006/relationships/image" Target="media/image647.png"/><Relationship Id="rId677" Type="http://schemas.openxmlformats.org/officeDocument/2006/relationships/image" Target="media/image648.png"/><Relationship Id="rId678" Type="http://schemas.openxmlformats.org/officeDocument/2006/relationships/image" Target="media/image649.png"/><Relationship Id="rId679" Type="http://schemas.openxmlformats.org/officeDocument/2006/relationships/image" Target="media/image650.png"/><Relationship Id="rId680" Type="http://schemas.openxmlformats.org/officeDocument/2006/relationships/image" Target="media/image651.png"/><Relationship Id="rId681" Type="http://schemas.openxmlformats.org/officeDocument/2006/relationships/image" Target="media/image652.png"/><Relationship Id="rId682" Type="http://schemas.openxmlformats.org/officeDocument/2006/relationships/image" Target="media/image653.png"/><Relationship Id="rId683" Type="http://schemas.openxmlformats.org/officeDocument/2006/relationships/image" Target="media/image654.png"/><Relationship Id="rId684" Type="http://schemas.openxmlformats.org/officeDocument/2006/relationships/image" Target="media/image655.png"/><Relationship Id="rId685" Type="http://schemas.openxmlformats.org/officeDocument/2006/relationships/image" Target="media/image656.png"/><Relationship Id="rId686" Type="http://schemas.openxmlformats.org/officeDocument/2006/relationships/image" Target="media/image657.png"/><Relationship Id="rId687" Type="http://schemas.openxmlformats.org/officeDocument/2006/relationships/image" Target="media/image658.png"/><Relationship Id="rId688" Type="http://schemas.openxmlformats.org/officeDocument/2006/relationships/image" Target="media/image659.png"/><Relationship Id="rId689" Type="http://schemas.openxmlformats.org/officeDocument/2006/relationships/image" Target="media/image660.png"/><Relationship Id="rId690" Type="http://schemas.openxmlformats.org/officeDocument/2006/relationships/image" Target="media/image661.png"/><Relationship Id="rId691" Type="http://schemas.openxmlformats.org/officeDocument/2006/relationships/image" Target="media/image662.png"/><Relationship Id="rId692" Type="http://schemas.openxmlformats.org/officeDocument/2006/relationships/image" Target="media/image663.png"/><Relationship Id="rId693" Type="http://schemas.openxmlformats.org/officeDocument/2006/relationships/image" Target="media/image664.png"/><Relationship Id="rId694" Type="http://schemas.openxmlformats.org/officeDocument/2006/relationships/image" Target="media/image665.png"/><Relationship Id="rId695" Type="http://schemas.openxmlformats.org/officeDocument/2006/relationships/image" Target="media/image666.png"/><Relationship Id="rId696" Type="http://schemas.openxmlformats.org/officeDocument/2006/relationships/image" Target="media/image667.png"/><Relationship Id="rId697" Type="http://schemas.openxmlformats.org/officeDocument/2006/relationships/image" Target="media/image668.png"/><Relationship Id="rId698" Type="http://schemas.openxmlformats.org/officeDocument/2006/relationships/image" Target="media/image669.png"/><Relationship Id="rId699" Type="http://schemas.openxmlformats.org/officeDocument/2006/relationships/image" Target="media/image670.png"/><Relationship Id="rId700" Type="http://schemas.openxmlformats.org/officeDocument/2006/relationships/image" Target="media/image671.png"/><Relationship Id="rId701" Type="http://schemas.openxmlformats.org/officeDocument/2006/relationships/image" Target="media/image672.png"/><Relationship Id="rId702" Type="http://schemas.openxmlformats.org/officeDocument/2006/relationships/image" Target="media/image673.png"/><Relationship Id="rId703" Type="http://schemas.openxmlformats.org/officeDocument/2006/relationships/image" Target="media/image674.png"/><Relationship Id="rId704" Type="http://schemas.openxmlformats.org/officeDocument/2006/relationships/image" Target="media/image675.png"/><Relationship Id="rId705" Type="http://schemas.openxmlformats.org/officeDocument/2006/relationships/image" Target="media/image676.png"/><Relationship Id="rId706" Type="http://schemas.openxmlformats.org/officeDocument/2006/relationships/image" Target="media/image677.png"/><Relationship Id="rId707" Type="http://schemas.openxmlformats.org/officeDocument/2006/relationships/image" Target="media/image678.png"/><Relationship Id="rId708" Type="http://schemas.openxmlformats.org/officeDocument/2006/relationships/image" Target="media/image679.png"/><Relationship Id="rId709" Type="http://schemas.openxmlformats.org/officeDocument/2006/relationships/image" Target="media/image680.png"/><Relationship Id="rId710" Type="http://schemas.openxmlformats.org/officeDocument/2006/relationships/image" Target="media/image681.png"/><Relationship Id="rId711" Type="http://schemas.openxmlformats.org/officeDocument/2006/relationships/image" Target="media/image682.png"/><Relationship Id="rId712" Type="http://schemas.openxmlformats.org/officeDocument/2006/relationships/image" Target="media/image683.png"/><Relationship Id="rId713" Type="http://schemas.openxmlformats.org/officeDocument/2006/relationships/image" Target="media/image684.png"/><Relationship Id="rId714" Type="http://schemas.openxmlformats.org/officeDocument/2006/relationships/image" Target="media/image685.png"/><Relationship Id="rId715" Type="http://schemas.openxmlformats.org/officeDocument/2006/relationships/image" Target="media/image686.png"/><Relationship Id="rId716" Type="http://schemas.openxmlformats.org/officeDocument/2006/relationships/image" Target="media/image687.png"/><Relationship Id="rId717" Type="http://schemas.openxmlformats.org/officeDocument/2006/relationships/image" Target="media/image688.png"/><Relationship Id="rId718" Type="http://schemas.openxmlformats.org/officeDocument/2006/relationships/image" Target="media/image689.png"/><Relationship Id="rId719" Type="http://schemas.openxmlformats.org/officeDocument/2006/relationships/image" Target="media/image690.png"/><Relationship Id="rId720" Type="http://schemas.openxmlformats.org/officeDocument/2006/relationships/image" Target="media/image691.png"/><Relationship Id="rId721" Type="http://schemas.openxmlformats.org/officeDocument/2006/relationships/image" Target="media/image692.png"/><Relationship Id="rId722" Type="http://schemas.openxmlformats.org/officeDocument/2006/relationships/image" Target="media/image693.png"/><Relationship Id="rId723" Type="http://schemas.openxmlformats.org/officeDocument/2006/relationships/image" Target="media/image694.png"/><Relationship Id="rId724" Type="http://schemas.openxmlformats.org/officeDocument/2006/relationships/image" Target="media/image695.png"/><Relationship Id="rId725" Type="http://schemas.openxmlformats.org/officeDocument/2006/relationships/image" Target="media/image696.png"/><Relationship Id="rId726" Type="http://schemas.openxmlformats.org/officeDocument/2006/relationships/image" Target="media/image697.png"/><Relationship Id="rId727" Type="http://schemas.openxmlformats.org/officeDocument/2006/relationships/image" Target="media/image698.png"/><Relationship Id="rId728" Type="http://schemas.openxmlformats.org/officeDocument/2006/relationships/image" Target="media/image699.png"/><Relationship Id="rId729" Type="http://schemas.openxmlformats.org/officeDocument/2006/relationships/image" Target="media/image700.png"/><Relationship Id="rId730" Type="http://schemas.openxmlformats.org/officeDocument/2006/relationships/image" Target="media/image701.png"/><Relationship Id="rId731" Type="http://schemas.openxmlformats.org/officeDocument/2006/relationships/image" Target="media/image702.png"/><Relationship Id="rId732" Type="http://schemas.openxmlformats.org/officeDocument/2006/relationships/image" Target="media/image703.png"/><Relationship Id="rId733" Type="http://schemas.openxmlformats.org/officeDocument/2006/relationships/image" Target="media/image704.png"/><Relationship Id="rId734" Type="http://schemas.openxmlformats.org/officeDocument/2006/relationships/image" Target="media/image705.png"/><Relationship Id="rId735" Type="http://schemas.openxmlformats.org/officeDocument/2006/relationships/image" Target="media/image706.png"/><Relationship Id="rId736" Type="http://schemas.openxmlformats.org/officeDocument/2006/relationships/image" Target="media/image707.png"/><Relationship Id="rId737" Type="http://schemas.openxmlformats.org/officeDocument/2006/relationships/image" Target="media/image708.png"/><Relationship Id="rId738" Type="http://schemas.openxmlformats.org/officeDocument/2006/relationships/image" Target="media/image709.png"/><Relationship Id="rId739" Type="http://schemas.openxmlformats.org/officeDocument/2006/relationships/image" Target="media/image710.png"/><Relationship Id="rId740" Type="http://schemas.openxmlformats.org/officeDocument/2006/relationships/image" Target="media/image711.png"/><Relationship Id="rId741" Type="http://schemas.openxmlformats.org/officeDocument/2006/relationships/image" Target="media/image712.png"/><Relationship Id="rId742" Type="http://schemas.openxmlformats.org/officeDocument/2006/relationships/image" Target="media/image713.png"/><Relationship Id="rId743" Type="http://schemas.openxmlformats.org/officeDocument/2006/relationships/image" Target="media/image714.png"/><Relationship Id="rId744" Type="http://schemas.openxmlformats.org/officeDocument/2006/relationships/image" Target="media/image715.png"/><Relationship Id="rId745" Type="http://schemas.openxmlformats.org/officeDocument/2006/relationships/image" Target="media/image716.png"/><Relationship Id="rId746" Type="http://schemas.openxmlformats.org/officeDocument/2006/relationships/image" Target="media/image717.png"/><Relationship Id="rId747" Type="http://schemas.openxmlformats.org/officeDocument/2006/relationships/image" Target="media/image718.png"/><Relationship Id="rId748" Type="http://schemas.openxmlformats.org/officeDocument/2006/relationships/image" Target="media/image719.png"/><Relationship Id="rId749" Type="http://schemas.openxmlformats.org/officeDocument/2006/relationships/image" Target="media/image720.png"/><Relationship Id="rId750" Type="http://schemas.openxmlformats.org/officeDocument/2006/relationships/image" Target="media/image721.png"/><Relationship Id="rId751" Type="http://schemas.openxmlformats.org/officeDocument/2006/relationships/image" Target="media/image722.png"/><Relationship Id="rId752" Type="http://schemas.openxmlformats.org/officeDocument/2006/relationships/image" Target="media/image723.png"/><Relationship Id="rId753" Type="http://schemas.openxmlformats.org/officeDocument/2006/relationships/image" Target="media/image724.png"/><Relationship Id="rId754" Type="http://schemas.openxmlformats.org/officeDocument/2006/relationships/image" Target="media/image725.png"/><Relationship Id="rId755" Type="http://schemas.openxmlformats.org/officeDocument/2006/relationships/image" Target="media/image726.png"/><Relationship Id="rId756" Type="http://schemas.openxmlformats.org/officeDocument/2006/relationships/image" Target="media/image727.png"/><Relationship Id="rId757" Type="http://schemas.openxmlformats.org/officeDocument/2006/relationships/image" Target="media/image728.png"/><Relationship Id="rId758" Type="http://schemas.openxmlformats.org/officeDocument/2006/relationships/image" Target="media/image729.png"/><Relationship Id="rId759" Type="http://schemas.openxmlformats.org/officeDocument/2006/relationships/image" Target="media/image730.png"/><Relationship Id="rId760" Type="http://schemas.openxmlformats.org/officeDocument/2006/relationships/image" Target="media/image731.png"/><Relationship Id="rId761" Type="http://schemas.openxmlformats.org/officeDocument/2006/relationships/image" Target="media/image732.png"/><Relationship Id="rId762" Type="http://schemas.openxmlformats.org/officeDocument/2006/relationships/image" Target="media/image733.png"/><Relationship Id="rId763" Type="http://schemas.openxmlformats.org/officeDocument/2006/relationships/image" Target="media/image734.png"/><Relationship Id="rId764" Type="http://schemas.openxmlformats.org/officeDocument/2006/relationships/image" Target="media/image735.png"/><Relationship Id="rId765" Type="http://schemas.openxmlformats.org/officeDocument/2006/relationships/image" Target="media/image736.png"/><Relationship Id="rId766" Type="http://schemas.openxmlformats.org/officeDocument/2006/relationships/image" Target="media/image737.png"/><Relationship Id="rId767" Type="http://schemas.openxmlformats.org/officeDocument/2006/relationships/image" Target="media/image738.png"/><Relationship Id="rId768" Type="http://schemas.openxmlformats.org/officeDocument/2006/relationships/image" Target="media/image739.png"/><Relationship Id="rId769" Type="http://schemas.openxmlformats.org/officeDocument/2006/relationships/image" Target="media/image740.png"/><Relationship Id="rId770" Type="http://schemas.openxmlformats.org/officeDocument/2006/relationships/image" Target="media/image741.png"/><Relationship Id="rId771" Type="http://schemas.openxmlformats.org/officeDocument/2006/relationships/image" Target="media/image742.png"/><Relationship Id="rId772" Type="http://schemas.openxmlformats.org/officeDocument/2006/relationships/image" Target="media/image743.png"/><Relationship Id="rId773" Type="http://schemas.openxmlformats.org/officeDocument/2006/relationships/image" Target="media/image744.png"/><Relationship Id="rId774" Type="http://schemas.openxmlformats.org/officeDocument/2006/relationships/image" Target="media/image745.png"/><Relationship Id="rId775" Type="http://schemas.openxmlformats.org/officeDocument/2006/relationships/image" Target="media/image746.png"/><Relationship Id="rId776" Type="http://schemas.openxmlformats.org/officeDocument/2006/relationships/image" Target="media/image747.png"/><Relationship Id="rId777" Type="http://schemas.openxmlformats.org/officeDocument/2006/relationships/image" Target="media/image748.png"/><Relationship Id="rId778" Type="http://schemas.openxmlformats.org/officeDocument/2006/relationships/image" Target="media/image749.png"/><Relationship Id="rId779" Type="http://schemas.openxmlformats.org/officeDocument/2006/relationships/image" Target="media/image750.png"/><Relationship Id="rId780" Type="http://schemas.openxmlformats.org/officeDocument/2006/relationships/image" Target="media/image751.png"/><Relationship Id="rId781" Type="http://schemas.openxmlformats.org/officeDocument/2006/relationships/image" Target="media/image752.png"/><Relationship Id="rId782" Type="http://schemas.openxmlformats.org/officeDocument/2006/relationships/image" Target="media/image753.png"/><Relationship Id="rId783" Type="http://schemas.openxmlformats.org/officeDocument/2006/relationships/image" Target="media/image754.png"/><Relationship Id="rId784" Type="http://schemas.openxmlformats.org/officeDocument/2006/relationships/image" Target="media/image755.png"/><Relationship Id="rId785" Type="http://schemas.openxmlformats.org/officeDocument/2006/relationships/image" Target="media/image756.png"/><Relationship Id="rId786" Type="http://schemas.openxmlformats.org/officeDocument/2006/relationships/image" Target="media/image757.png"/><Relationship Id="rId787" Type="http://schemas.openxmlformats.org/officeDocument/2006/relationships/image" Target="media/image758.png"/><Relationship Id="rId788" Type="http://schemas.openxmlformats.org/officeDocument/2006/relationships/image" Target="media/image759.png"/><Relationship Id="rId789" Type="http://schemas.openxmlformats.org/officeDocument/2006/relationships/image" Target="media/image760.png"/><Relationship Id="rId790" Type="http://schemas.openxmlformats.org/officeDocument/2006/relationships/image" Target="media/image761.png"/><Relationship Id="rId791" Type="http://schemas.openxmlformats.org/officeDocument/2006/relationships/image" Target="media/image762.png"/><Relationship Id="rId792" Type="http://schemas.openxmlformats.org/officeDocument/2006/relationships/image" Target="media/image763.png"/><Relationship Id="rId793" Type="http://schemas.openxmlformats.org/officeDocument/2006/relationships/image" Target="media/image764.png"/><Relationship Id="rId794" Type="http://schemas.openxmlformats.org/officeDocument/2006/relationships/image" Target="media/image765.png"/><Relationship Id="rId795" Type="http://schemas.openxmlformats.org/officeDocument/2006/relationships/image" Target="media/image766.png"/><Relationship Id="rId796" Type="http://schemas.openxmlformats.org/officeDocument/2006/relationships/image" Target="media/image767.png"/><Relationship Id="rId797" Type="http://schemas.openxmlformats.org/officeDocument/2006/relationships/image" Target="media/image768.png"/><Relationship Id="rId798" Type="http://schemas.openxmlformats.org/officeDocument/2006/relationships/image" Target="media/image769.png"/><Relationship Id="rId799" Type="http://schemas.openxmlformats.org/officeDocument/2006/relationships/image" Target="media/image770.png"/><Relationship Id="rId800" Type="http://schemas.openxmlformats.org/officeDocument/2006/relationships/image" Target="media/image771.png"/><Relationship Id="rId801" Type="http://schemas.openxmlformats.org/officeDocument/2006/relationships/image" Target="media/image772.png"/><Relationship Id="rId802" Type="http://schemas.openxmlformats.org/officeDocument/2006/relationships/image" Target="media/image773.png"/><Relationship Id="rId803" Type="http://schemas.openxmlformats.org/officeDocument/2006/relationships/image" Target="media/image774.png"/><Relationship Id="rId804" Type="http://schemas.openxmlformats.org/officeDocument/2006/relationships/image" Target="media/image775.png"/><Relationship Id="rId805" Type="http://schemas.openxmlformats.org/officeDocument/2006/relationships/image" Target="media/image776.png"/><Relationship Id="rId806" Type="http://schemas.openxmlformats.org/officeDocument/2006/relationships/image" Target="media/image777.png"/><Relationship Id="rId807" Type="http://schemas.openxmlformats.org/officeDocument/2006/relationships/image" Target="media/image778.png"/><Relationship Id="rId808" Type="http://schemas.openxmlformats.org/officeDocument/2006/relationships/image" Target="media/image779.png"/><Relationship Id="rId809" Type="http://schemas.openxmlformats.org/officeDocument/2006/relationships/image" Target="media/image780.png"/><Relationship Id="rId810" Type="http://schemas.openxmlformats.org/officeDocument/2006/relationships/image" Target="media/image781.png"/><Relationship Id="rId811" Type="http://schemas.openxmlformats.org/officeDocument/2006/relationships/image" Target="media/image782.png"/><Relationship Id="rId812" Type="http://schemas.openxmlformats.org/officeDocument/2006/relationships/image" Target="media/image783.png"/><Relationship Id="rId813" Type="http://schemas.openxmlformats.org/officeDocument/2006/relationships/image" Target="media/image784.png"/><Relationship Id="rId814" Type="http://schemas.openxmlformats.org/officeDocument/2006/relationships/image" Target="media/image785.png"/><Relationship Id="rId815" Type="http://schemas.openxmlformats.org/officeDocument/2006/relationships/image" Target="media/image786.png"/><Relationship Id="rId816" Type="http://schemas.openxmlformats.org/officeDocument/2006/relationships/image" Target="media/image787.png"/><Relationship Id="rId817" Type="http://schemas.openxmlformats.org/officeDocument/2006/relationships/image" Target="media/image788.png"/><Relationship Id="rId818" Type="http://schemas.openxmlformats.org/officeDocument/2006/relationships/image" Target="media/image789.png"/><Relationship Id="rId819" Type="http://schemas.openxmlformats.org/officeDocument/2006/relationships/image" Target="media/image790.png"/><Relationship Id="rId820" Type="http://schemas.openxmlformats.org/officeDocument/2006/relationships/image" Target="media/image791.png"/><Relationship Id="rId821" Type="http://schemas.openxmlformats.org/officeDocument/2006/relationships/image" Target="media/image792.png"/><Relationship Id="rId822" Type="http://schemas.openxmlformats.org/officeDocument/2006/relationships/image" Target="media/image793.png"/><Relationship Id="rId823" Type="http://schemas.openxmlformats.org/officeDocument/2006/relationships/image" Target="media/image794.png"/><Relationship Id="rId824" Type="http://schemas.openxmlformats.org/officeDocument/2006/relationships/image" Target="media/image795.png"/><Relationship Id="rId825" Type="http://schemas.openxmlformats.org/officeDocument/2006/relationships/image" Target="media/image796.png"/><Relationship Id="rId826" Type="http://schemas.openxmlformats.org/officeDocument/2006/relationships/image" Target="media/image797.png"/><Relationship Id="rId827" Type="http://schemas.openxmlformats.org/officeDocument/2006/relationships/image" Target="media/image798.png"/><Relationship Id="rId828" Type="http://schemas.openxmlformats.org/officeDocument/2006/relationships/image" Target="media/image799.png"/><Relationship Id="rId829" Type="http://schemas.openxmlformats.org/officeDocument/2006/relationships/image" Target="media/image800.png"/><Relationship Id="rId830" Type="http://schemas.openxmlformats.org/officeDocument/2006/relationships/image" Target="media/image801.png"/><Relationship Id="rId831" Type="http://schemas.openxmlformats.org/officeDocument/2006/relationships/image" Target="media/image802.png"/><Relationship Id="rId832" Type="http://schemas.openxmlformats.org/officeDocument/2006/relationships/image" Target="media/image803.png"/><Relationship Id="rId833" Type="http://schemas.openxmlformats.org/officeDocument/2006/relationships/image" Target="media/image804.png"/><Relationship Id="rId834" Type="http://schemas.openxmlformats.org/officeDocument/2006/relationships/image" Target="media/image805.png"/><Relationship Id="rId835" Type="http://schemas.openxmlformats.org/officeDocument/2006/relationships/image" Target="media/image806.png"/><Relationship Id="rId836" Type="http://schemas.openxmlformats.org/officeDocument/2006/relationships/image" Target="media/image807.png"/><Relationship Id="rId837" Type="http://schemas.openxmlformats.org/officeDocument/2006/relationships/image" Target="media/image808.png"/><Relationship Id="rId838" Type="http://schemas.openxmlformats.org/officeDocument/2006/relationships/image" Target="media/image809.png"/><Relationship Id="rId839" Type="http://schemas.openxmlformats.org/officeDocument/2006/relationships/image" Target="media/image810.png"/><Relationship Id="rId840" Type="http://schemas.openxmlformats.org/officeDocument/2006/relationships/image" Target="media/image811.png"/><Relationship Id="rId841" Type="http://schemas.openxmlformats.org/officeDocument/2006/relationships/image" Target="media/image812.png"/><Relationship Id="rId842" Type="http://schemas.openxmlformats.org/officeDocument/2006/relationships/image" Target="media/image813.png"/><Relationship Id="rId843" Type="http://schemas.openxmlformats.org/officeDocument/2006/relationships/image" Target="media/image814.png"/><Relationship Id="rId844" Type="http://schemas.openxmlformats.org/officeDocument/2006/relationships/image" Target="media/image815.png"/><Relationship Id="rId845" Type="http://schemas.openxmlformats.org/officeDocument/2006/relationships/image" Target="media/image816.png"/><Relationship Id="rId846" Type="http://schemas.openxmlformats.org/officeDocument/2006/relationships/image" Target="media/image817.png"/><Relationship Id="rId847" Type="http://schemas.openxmlformats.org/officeDocument/2006/relationships/image" Target="media/image818.png"/><Relationship Id="rId848" Type="http://schemas.openxmlformats.org/officeDocument/2006/relationships/image" Target="media/image819.png"/><Relationship Id="rId849" Type="http://schemas.openxmlformats.org/officeDocument/2006/relationships/image" Target="media/image820.png"/><Relationship Id="rId850" Type="http://schemas.openxmlformats.org/officeDocument/2006/relationships/image" Target="media/image821.png"/><Relationship Id="rId851" Type="http://schemas.openxmlformats.org/officeDocument/2006/relationships/image" Target="media/image822.png"/><Relationship Id="rId852" Type="http://schemas.openxmlformats.org/officeDocument/2006/relationships/image" Target="media/image823.png"/><Relationship Id="rId853" Type="http://schemas.openxmlformats.org/officeDocument/2006/relationships/image" Target="media/image824.png"/><Relationship Id="rId854" Type="http://schemas.openxmlformats.org/officeDocument/2006/relationships/image" Target="media/image825.png"/><Relationship Id="rId855" Type="http://schemas.openxmlformats.org/officeDocument/2006/relationships/image" Target="media/image826.png"/><Relationship Id="rId856" Type="http://schemas.openxmlformats.org/officeDocument/2006/relationships/image" Target="media/image827.png"/><Relationship Id="rId857" Type="http://schemas.openxmlformats.org/officeDocument/2006/relationships/image" Target="media/image828.png"/><Relationship Id="rId858" Type="http://schemas.openxmlformats.org/officeDocument/2006/relationships/image" Target="media/image829.png"/><Relationship Id="rId859" Type="http://schemas.openxmlformats.org/officeDocument/2006/relationships/image" Target="media/image830.png"/><Relationship Id="rId388" Type="http://schemas.openxmlformats.org/officeDocument/2006/relationships/hyperlink" Target="https://www.sec.gov/Archives/edgar/data/1756699/000104746919001070/a2237808zex-3_2.htm" TargetMode="External"/><Relationship Id="rId389" Type="http://schemas.openxmlformats.org/officeDocument/2006/relationships/hyperlink" Target="https://www.sec.gov/Archives/edgar/data/1756699/000110465920053356/a20-14987_1ex2d1.htm" TargetMode="External"/><Relationship Id="rId390" Type="http://schemas.openxmlformats.org/officeDocument/2006/relationships/hyperlink" Target="https://www.sec.gov/Archives/edgar/data/1756699/000104746919001070/a2237808zex-4_3.htm" TargetMode="External"/><Relationship Id="rId391" Type="http://schemas.openxmlformats.org/officeDocument/2006/relationships/hyperlink" Target="https://www.sec.gov/Archives/edgar/data/1756699/000104746919001070/a2237808zex-4_2.htm" TargetMode="External"/><Relationship Id="rId395" Type="http://schemas.openxmlformats.org/officeDocument/2006/relationships/hyperlink" Target="https://www.sec.gov/Archives/edgar/data/1756699/000104746919001070/a2237808zex-4_4.htm" TargetMode="External"/><Relationship Id="rId397" Type="http://schemas.openxmlformats.org/officeDocument/2006/relationships/hyperlink" Target="https://www.sec.gov/Archives/edgar/data/1756699/000110465920053356/a20-14987_1ex3d1.htm" TargetMode="External"/><Relationship Id="rId401" Type="http://schemas.openxmlformats.org/officeDocument/2006/relationships/hyperlink" Target="https://www.sec.gov/Archives/edgar/data/1756699/000104746919000627/a2237532zex-10_1.htm" TargetMode="External"/><Relationship Id="rId409" Type="http://schemas.openxmlformats.org/officeDocument/2006/relationships/hyperlink" Target="https://www.sec.gov/Archives/edgar/data/1756699/000104746919000627/a2237532zex-10_5.htm" TargetMode="External"/><Relationship Id="rId412" Type="http://schemas.openxmlformats.org/officeDocument/2006/relationships/hyperlink" Target="https://www.sec.gov/Archives/edgar/data/1756699/000104746919000627/a2237532zex-10_6.htm" TargetMode="External"/><Relationship Id="rId415" Type="http://schemas.openxmlformats.org/officeDocument/2006/relationships/hyperlink" Target="https://www.sec.gov/Archives/edgar/data/1756699/000104746919000627/a2237532zex-10_7.htm" TargetMode="External"/><Relationship Id="rId419" Type="http://schemas.openxmlformats.org/officeDocument/2006/relationships/hyperlink" Target="https://www.sec.gov/Archives/edgar/data/1756699/000104746919000627/a2237532zex-10_8.htm" TargetMode="External"/><Relationship Id="rId423" Type="http://schemas.openxmlformats.org/officeDocument/2006/relationships/hyperlink" Target="https://www.sec.gov/Archives/edgar/data/1756699/000104746919000627/a2237532zex-10_9.htm" TargetMode="External"/><Relationship Id="rId426" Type="http://schemas.openxmlformats.org/officeDocument/2006/relationships/hyperlink" Target="https://www.sec.gov/Archives/edgar/data/1756699/000104746919000627/a2237532zex-10_10.htm" TargetMode="External"/><Relationship Id="rId429" Type="http://schemas.openxmlformats.org/officeDocument/2006/relationships/hyperlink" Target="https://www.sec.gov/Archives/edgar/data/1756699/000104746919000627/a2237532zex-10_11.htm" TargetMode="External"/><Relationship Id="rId432" Type="http://schemas.openxmlformats.org/officeDocument/2006/relationships/hyperlink" Target="https://www.sec.gov/Archives/edgar/data/1756699/000104746919000627/a2237532zex-10_12.htm" TargetMode="External"/><Relationship Id="rId435" Type="http://schemas.openxmlformats.org/officeDocument/2006/relationships/hyperlink" Target="https://www.sec.gov/Archives/edgar/data/1756699/000104746919000627/a2237532zex-10_13.htm" TargetMode="External"/><Relationship Id="rId440" Type="http://schemas.openxmlformats.org/officeDocument/2006/relationships/hyperlink" Target="https://www.sec.gov/Archives/edgar/data/1756699/000104746919000627/a2237532zex-10_14.htm" TargetMode="External"/><Relationship Id="rId443" Type="http://schemas.openxmlformats.org/officeDocument/2006/relationships/hyperlink" Target="https://www.sec.gov/Archives/edgar/data/1756699/000095017023014775/tigr-ex4_15.htm" TargetMode="External"/><Relationship Id="rId445" Type="http://schemas.openxmlformats.org/officeDocument/2006/relationships/hyperlink" Target="https://www.sec.gov/Archives/edgar/data/1756699/000104746919001070/a2237808zex-10_16.htm" TargetMode="External"/><Relationship Id="rId448" Type="http://schemas.openxmlformats.org/officeDocument/2006/relationships/hyperlink" Target="https://www.sec.gov/Archives/edgar/data/1756699/000104746919001070/a2237808zex-10_17.htm" TargetMode="External"/><Relationship Id="rId451" Type="http://schemas.openxmlformats.org/officeDocument/2006/relationships/hyperlink" Target="https://www.sec.gov/Archives/edgar/data/1756699/000110465921112034/tm2126678d1_ex10-1.htm" TargetMode="External"/><Relationship Id="rId452" Type="http://schemas.openxmlformats.org/officeDocument/2006/relationships/hyperlink" Target="https://www.sec.gov/Archives/edgar/data/1756699/000104746919001070/a2237808zex-99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2024-04-22T08:25:09Z</dcterms:created>
  <dcterms:modified xsi:type="dcterms:W3CDTF">2024-04-22T08:25:09Z</dcterms:modified>
</cp:coreProperties>
</file>