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LIU JIAN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NO. 16 TAIYANGGONG MIDDLE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UP Fintech Holding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TIGR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BEIJING</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F4</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100020</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r>
              <w:rPr>
                <w:rFonts w:ascii="Times New Roman" w:cs="Times New Roman" w:eastAsia="Times New Roman" w:hAnsi="Times New Roman"/>
                <w:sz w:val="22"/>
                <w:szCs w:val="22"/>
                <w:color w:val="008000"/>
                <w:vertAlign w:val="superscript"/>
              </w:rPr>
              <w:t>(1)</w:t>
            </w:r>
          </w:p>
        </w:tc>
        <w:tc>
          <w:tcPr>
            <w:tcW w:w="15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03/19/2026</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399,990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500,010</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on March 19, 2026.</w:t>
      </w:r>
    </w:p>
    <w:p>
      <w:pPr>
        <w:spacing w:after="0" w:line="50"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19, 2026 (the "Grant Date"), the Reporting Person was granted an aggregate of 399,990 Restricted Stock Units ("RSUs") of UP Fintech Holding Limited (the "Issuer"). Each RSU represents the right to receive one Class A Ordinary Share of the Issuer upon vesting (1:1 ratio). The RSUs settle exclusively in Class A Ordinary Shares; no cash settlement alternative exists. The RSUs vest as follows, subject to continued employment or service through each applicable vesting date: (i) 99,990 RSUs vest on March 19, 2027; (ii) 99,990 RSUs vest on March 19, 2028; (iii) 99,990 RSUs vest on March 19, 2029; and (iv) 100,020 RSUs vest on March 19, 2030.</w:t>
      </w:r>
    </w:p>
    <w:p>
      <w:pPr>
        <w:spacing w:after="0" w:line="24" w:lineRule="exact"/>
        <w:rPr>
          <w:rFonts w:ascii="Times New Roman" w:cs="Times New Roman" w:eastAsia="Times New Roman" w:hAnsi="Times New Roman"/>
          <w:sz w:val="13"/>
          <w:szCs w:val="13"/>
          <w:color w:val="008000"/>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of securities beneficially owned following this transaction (500,010) consists of: (a) 399,990 Class A Ordinary Shares underlying the RSUs granted herein; and (b) 100,020 Class A Ordinary Shares previously reported on Form 3 (filed on March 18, 2026), representing RSUs that vested on March 19, 2026.</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/s/Jian Liu</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03/19/2026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7270" TargetMode="External"/><Relationship Id="rId14" Type="http://schemas.openxmlformats.org/officeDocument/2006/relationships/hyperlink" Target="http://www.sec.gov/cgi-bin/browse-edgar?action=getcompany&amp;CIK=00017566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2026-03-19T06:32:27Z</dcterms:created>
  <dcterms:modified xsi:type="dcterms:W3CDTF">2026-03-19T06:32:27Z</dcterms:modified>
</cp:coreProperties>
</file>